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CA144" w14:textId="3737BD59" w:rsidR="00480B47" w:rsidRDefault="002503AC">
      <w:pPr>
        <w:spacing w:before="0" w:after="200" w:line="276" w:lineRule="auto"/>
        <w:jc w:val="left"/>
        <w:rPr>
          <w:noProof/>
        </w:rPr>
      </w:pPr>
      <w:r>
        <w:rPr>
          <w:noProof/>
        </w:rPr>
        <w:drawing>
          <wp:anchor distT="0" distB="0" distL="114300" distR="114300" simplePos="0" relativeHeight="251658240" behindDoc="0" locked="0" layoutInCell="1" allowOverlap="1" wp14:anchorId="15A6D614" wp14:editId="67FDA328">
            <wp:simplePos x="0" y="0"/>
            <wp:positionH relativeFrom="column">
              <wp:posOffset>-810260</wp:posOffset>
            </wp:positionH>
            <wp:positionV relativeFrom="paragraph">
              <wp:posOffset>-620395</wp:posOffset>
            </wp:positionV>
            <wp:extent cx="7541260" cy="10658475"/>
            <wp:effectExtent l="0" t="0" r="2540" b="9525"/>
            <wp:wrapNone/>
            <wp:docPr id="1" name="Picture 1" descr="This image is the title page for the report: Comparative Performance Monitoring Report 23rd edition.  This section is on Entitlements under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the title page for the report: Comparative Performance Monitoring Report 23rd edition.  This section is on Entitlements under Workers’ Compens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1260" cy="10658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5218B">
        <w:rPr>
          <w:noProof/>
        </w:rPr>
        <w:t xml:space="preserve"> </w:t>
      </w:r>
      <w:r w:rsidR="00480B47">
        <w:rPr>
          <w:noProof/>
        </w:rPr>
        <w:br w:type="page"/>
      </w:r>
    </w:p>
    <w:p w14:paraId="48238E36" w14:textId="77777777" w:rsidR="007F03B6" w:rsidRPr="001D7C48" w:rsidRDefault="007F03B6" w:rsidP="00CF1326">
      <w:pPr>
        <w:spacing w:after="120"/>
        <w:ind w:left="-1276"/>
      </w:pPr>
    </w:p>
    <w:p w14:paraId="171385A9" w14:textId="77777777" w:rsidR="00CF1326" w:rsidRDefault="00CF1326">
      <w:pPr>
        <w:spacing w:before="0" w:after="200" w:line="276" w:lineRule="auto"/>
        <w:jc w:val="left"/>
        <w:rPr>
          <w:rFonts w:eastAsiaTheme="majorEastAsia" w:cstheme="majorBidi"/>
          <w:b/>
          <w:color w:val="AF1E2D"/>
          <w:spacing w:val="-3"/>
          <w:sz w:val="14"/>
          <w:szCs w:val="14"/>
          <w:lang w:eastAsia="en-US"/>
        </w:rPr>
      </w:pPr>
    </w:p>
    <w:p w14:paraId="5B9B2824" w14:textId="77777777" w:rsidR="00E02CBC" w:rsidRPr="001D7C48" w:rsidRDefault="00E02CBC" w:rsidP="00E02CBC">
      <w:pPr>
        <w:pStyle w:val="SWADisclaimerheading"/>
      </w:pPr>
      <w:r w:rsidRPr="001D7C48">
        <w:t>Disclaimer</w:t>
      </w:r>
    </w:p>
    <w:p w14:paraId="6A5FCBB6" w14:textId="77777777" w:rsidR="00E02CBC" w:rsidRDefault="00E02CBC" w:rsidP="00E02CBC">
      <w:pPr>
        <w:pStyle w:val="SWADisclaimerbodytext"/>
      </w:pPr>
      <w:r>
        <w:t xml:space="preserve">Safe Work Australia is an Australian Government statutory agency established in 2009. Safe Work Australia includes Members from the Commonwealth, and each state and territory, Members representing the interests of workers and Members representing the interests of employers. </w:t>
      </w:r>
    </w:p>
    <w:p w14:paraId="7816EEC3" w14:textId="77777777" w:rsidR="00E02CBC" w:rsidRDefault="00E02CBC" w:rsidP="00E02CBC">
      <w:pPr>
        <w:pStyle w:val="SWADisclaimerbodytext"/>
      </w:pPr>
      <w:r>
        <w:t xml:space="preserve">Safe Work Australia works with the Commonwealth, </w:t>
      </w:r>
      <w:proofErr w:type="gramStart"/>
      <w:r>
        <w:t>state</w:t>
      </w:r>
      <w:proofErr w:type="gramEnd"/>
      <w:r>
        <w:t xml:space="preserve"> and territory governments to improve work health and safety and workers’ compensation arrangements. Safe Work Australia is a national policy body, not a regulator of work health and safety. The Commonwealth, states and territories have responsibility for regulating and enforcing work health and safety laws in their jurisdiction.</w:t>
      </w:r>
    </w:p>
    <w:p w14:paraId="22D2B364" w14:textId="77777777" w:rsidR="00E02CBC" w:rsidRPr="00077D9A" w:rsidRDefault="00E02CBC" w:rsidP="00E02CBC">
      <w:pPr>
        <w:autoSpaceDE w:val="0"/>
        <w:autoSpaceDN w:val="0"/>
        <w:rPr>
          <w:b/>
          <w:bCs/>
          <w:color w:val="000000"/>
          <w:sz w:val="14"/>
          <w:szCs w:val="14"/>
          <w:lang w:eastAsia="ko-KR"/>
        </w:rPr>
      </w:pPr>
      <w:r w:rsidRPr="00077D9A">
        <w:rPr>
          <w:b/>
          <w:bCs/>
          <w:color w:val="000000"/>
          <w:sz w:val="14"/>
          <w:szCs w:val="14"/>
          <w:lang w:eastAsia="ko-KR"/>
        </w:rPr>
        <w:t>ISSN 2209-9158</w:t>
      </w:r>
    </w:p>
    <w:p w14:paraId="0838C33F" w14:textId="77777777" w:rsidR="00E02CBC" w:rsidRPr="008530EB" w:rsidRDefault="00E02CBC" w:rsidP="00E02CBC">
      <w:pPr>
        <w:pStyle w:val="SWADisclaimerheading"/>
      </w:pPr>
      <w:r>
        <w:t>Creative Commons</w:t>
      </w:r>
    </w:p>
    <w:p w14:paraId="04A6F90B" w14:textId="77777777" w:rsidR="00E02CBC" w:rsidRPr="00A034C4" w:rsidRDefault="00E02CBC" w:rsidP="00E02CBC">
      <w:pPr>
        <w:pStyle w:val="SWADisclaimerheading"/>
        <w:rPr>
          <w:rFonts w:eastAsia="Times New Roman" w:cs="Times New Roman"/>
          <w:b w:val="0"/>
          <w:color w:val="auto"/>
          <w:spacing w:val="0"/>
          <w:lang w:eastAsia="en-AU"/>
        </w:rPr>
      </w:pPr>
      <w:proofErr w:type="gramStart"/>
      <w:r w:rsidRPr="003770DC">
        <w:rPr>
          <w:rFonts w:eastAsia="Times New Roman" w:cs="Times New Roman"/>
          <w:b w:val="0"/>
          <w:color w:val="auto"/>
          <w:spacing w:val="0"/>
          <w:lang w:eastAsia="en-AU"/>
        </w:rPr>
        <w:t>With the exception of</w:t>
      </w:r>
      <w:proofErr w:type="gramEnd"/>
      <w:r w:rsidRPr="003770DC">
        <w:rPr>
          <w:rFonts w:eastAsia="Times New Roman" w:cs="Times New Roman"/>
          <w:b w:val="0"/>
          <w:color w:val="auto"/>
          <w:spacing w:val="0"/>
          <w:lang w:eastAsia="en-AU"/>
        </w:rPr>
        <w:t xml:space="preserve"> the Safe Work Australia logo, this copyright work is licensed under a Creative Commons Attribution 4.0 International licence. To view a copy of this licence, visit creativecommons.org/licenses</w:t>
      </w:r>
      <w:r>
        <w:rPr>
          <w:rFonts w:eastAsia="Times New Roman" w:cs="Times New Roman"/>
          <w:b w:val="0"/>
          <w:color w:val="auto"/>
          <w:spacing w:val="0"/>
          <w:lang w:eastAsia="en-AU"/>
        </w:rPr>
        <w:t>.</w:t>
      </w:r>
      <w:r w:rsidRPr="003770DC">
        <w:rPr>
          <w:rFonts w:eastAsia="Times New Roman" w:cs="Times New Roman"/>
          <w:b w:val="0"/>
          <w:color w:val="auto"/>
          <w:spacing w:val="0"/>
          <w:lang w:eastAsia="en-AU"/>
        </w:rPr>
        <w:t xml:space="preserve"> In essence, you are free to copy, communicate and adapt the work, even commercially, </w:t>
      </w:r>
      <w:proofErr w:type="gramStart"/>
      <w:r w:rsidRPr="003770DC">
        <w:rPr>
          <w:rFonts w:eastAsia="Times New Roman" w:cs="Times New Roman"/>
          <w:b w:val="0"/>
          <w:color w:val="auto"/>
          <w:spacing w:val="0"/>
          <w:lang w:eastAsia="en-AU"/>
        </w:rPr>
        <w:t>as long as</w:t>
      </w:r>
      <w:proofErr w:type="gramEnd"/>
      <w:r w:rsidRPr="003770DC">
        <w:rPr>
          <w:rFonts w:eastAsia="Times New Roman" w:cs="Times New Roman"/>
          <w:b w:val="0"/>
          <w:color w:val="auto"/>
          <w:spacing w:val="0"/>
          <w:lang w:eastAsia="en-AU"/>
        </w:rPr>
        <w:t xml:space="preserve"> you attribute the work to Safe Work Australia and abide by the other licence terms.</w:t>
      </w:r>
    </w:p>
    <w:p w14:paraId="14ACD478" w14:textId="77777777" w:rsidR="00E02CBC" w:rsidRPr="00A034C4" w:rsidRDefault="00E02CBC" w:rsidP="00E02CBC">
      <w:pPr>
        <w:pStyle w:val="SWADisclaimerheading"/>
        <w:rPr>
          <w:color w:val="145B85"/>
        </w:rPr>
      </w:pPr>
      <w:r>
        <w:t>Contact information</w:t>
      </w:r>
    </w:p>
    <w:p w14:paraId="455FBF48" w14:textId="7AA6FDC1" w:rsidR="00E02CBC" w:rsidRPr="00D60313" w:rsidRDefault="00E02CBC" w:rsidP="00E02CBC">
      <w:pPr>
        <w:pStyle w:val="SWADisclaimerheading"/>
        <w:sectPr w:rsidR="00E02CBC" w:rsidRPr="00D60313" w:rsidSect="00E02CBC">
          <w:footerReference w:type="default" r:id="rId9"/>
          <w:pgSz w:w="11906" w:h="16838" w:code="9"/>
          <w:pgMar w:top="992" w:right="1797" w:bottom="1440" w:left="1276" w:header="709" w:footer="709" w:gutter="0"/>
          <w:cols w:space="242"/>
          <w:vAlign w:val="bottom"/>
          <w:titlePg/>
          <w:docGrid w:linePitch="360"/>
        </w:sectPr>
      </w:pPr>
      <w:r w:rsidRPr="00A034C4">
        <w:rPr>
          <w:rFonts w:eastAsia="Times New Roman" w:cs="Times New Roman"/>
          <w:b w:val="0"/>
          <w:color w:val="auto"/>
          <w:spacing w:val="0"/>
          <w:lang w:eastAsia="en-AU"/>
        </w:rPr>
        <w:t xml:space="preserve">Safe Work Australia | </w:t>
      </w:r>
      <w:hyperlink r:id="rId10" w:tooltip="Safe Work Australia email address" w:history="1">
        <w:r w:rsidRPr="00A034C4">
          <w:rPr>
            <w:rStyle w:val="Hyperlink"/>
            <w:rFonts w:eastAsia="Times New Roman" w:cs="Times New Roman"/>
            <w:b w:val="0"/>
            <w:spacing w:val="0"/>
            <w:lang w:eastAsia="en-AU"/>
          </w:rPr>
          <w:t>mailto:info@swa.gov.au</w:t>
        </w:r>
      </w:hyperlink>
      <w:r w:rsidRPr="00A034C4">
        <w:rPr>
          <w:rFonts w:eastAsia="Times New Roman" w:cs="Times New Roman"/>
          <w:b w:val="0"/>
          <w:color w:val="auto"/>
          <w:spacing w:val="0"/>
          <w:lang w:eastAsia="en-AU"/>
        </w:rPr>
        <w:t xml:space="preserve"> | </w:t>
      </w:r>
      <w:hyperlink r:id="rId11" w:history="1">
        <w:r w:rsidRPr="00A034C4">
          <w:rPr>
            <w:rStyle w:val="Hyperlink"/>
            <w:rFonts w:eastAsia="Times New Roman" w:cs="Times New Roman"/>
            <w:b w:val="0"/>
            <w:spacing w:val="0"/>
            <w:lang w:eastAsia="en-AU"/>
          </w:rPr>
          <w:t>www.swa.gov.au</w:t>
        </w:r>
      </w:hyperlink>
    </w:p>
    <w:sdt>
      <w:sdtPr>
        <w:rPr>
          <w:rFonts w:eastAsia="Times New Roman" w:cs="Times New Roman"/>
          <w:b w:val="0"/>
          <w:bCs w:val="0"/>
          <w:color w:val="auto"/>
          <w:sz w:val="20"/>
          <w:szCs w:val="24"/>
          <w:lang w:val="en-AU" w:eastAsia="en-AU"/>
        </w:rPr>
        <w:id w:val="1124112353"/>
        <w:docPartObj>
          <w:docPartGallery w:val="Table of Contents"/>
          <w:docPartUnique/>
        </w:docPartObj>
      </w:sdtPr>
      <w:sdtEndPr>
        <w:rPr>
          <w:noProof/>
        </w:rPr>
      </w:sdtEndPr>
      <w:sdtContent>
        <w:p w14:paraId="646C50B8" w14:textId="79CBFB99" w:rsidR="0002740D" w:rsidRPr="0002740D" w:rsidRDefault="0002740D">
          <w:pPr>
            <w:pStyle w:val="TOCHeading"/>
          </w:pPr>
          <w:r w:rsidRPr="0002740D">
            <w:t>Contents</w:t>
          </w:r>
        </w:p>
        <w:p w14:paraId="757F5127" w14:textId="5BCBE97A" w:rsidR="0046605D" w:rsidRDefault="0002740D">
          <w:pPr>
            <w:pStyle w:val="TOC1"/>
            <w:rPr>
              <w:rFonts w:asciiTheme="minorHAnsi" w:eastAsiaTheme="minorEastAsia" w:hAnsiTheme="minorHAnsi" w:cstheme="minorBidi"/>
              <w:sz w:val="22"/>
              <w:szCs w:val="22"/>
            </w:rPr>
          </w:pPr>
          <w:r w:rsidRPr="0002740D">
            <w:fldChar w:fldCharType="begin"/>
          </w:r>
          <w:r w:rsidRPr="0002740D">
            <w:instrText xml:space="preserve"> TOC \o "1-3" \h \z \u </w:instrText>
          </w:r>
          <w:r w:rsidRPr="0002740D">
            <w:fldChar w:fldCharType="separate"/>
          </w:r>
          <w:hyperlink w:anchor="_Toc86056322" w:history="1">
            <w:r w:rsidR="0046605D" w:rsidRPr="00112C09">
              <w:rPr>
                <w:rStyle w:val="Hyperlink"/>
              </w:rPr>
              <w:t>Foreword</w:t>
            </w:r>
            <w:r w:rsidR="0046605D">
              <w:rPr>
                <w:webHidden/>
              </w:rPr>
              <w:tab/>
            </w:r>
            <w:r w:rsidR="0046605D">
              <w:rPr>
                <w:webHidden/>
              </w:rPr>
              <w:fldChar w:fldCharType="begin"/>
            </w:r>
            <w:r w:rsidR="0046605D">
              <w:rPr>
                <w:webHidden/>
              </w:rPr>
              <w:instrText xml:space="preserve"> PAGEREF _Toc86056322 \h </w:instrText>
            </w:r>
            <w:r w:rsidR="0046605D">
              <w:rPr>
                <w:webHidden/>
              </w:rPr>
            </w:r>
            <w:r w:rsidR="0046605D">
              <w:rPr>
                <w:webHidden/>
              </w:rPr>
              <w:fldChar w:fldCharType="separate"/>
            </w:r>
            <w:r w:rsidR="00AC11CA">
              <w:rPr>
                <w:webHidden/>
              </w:rPr>
              <w:t>4</w:t>
            </w:r>
            <w:r w:rsidR="0046605D">
              <w:rPr>
                <w:webHidden/>
              </w:rPr>
              <w:fldChar w:fldCharType="end"/>
            </w:r>
          </w:hyperlink>
        </w:p>
        <w:p w14:paraId="3059411A" w14:textId="41EAF5F1" w:rsidR="0046605D" w:rsidRDefault="009A4283">
          <w:pPr>
            <w:pStyle w:val="TOC1"/>
            <w:rPr>
              <w:rFonts w:asciiTheme="minorHAnsi" w:eastAsiaTheme="minorEastAsia" w:hAnsiTheme="minorHAnsi" w:cstheme="minorBidi"/>
              <w:sz w:val="22"/>
              <w:szCs w:val="22"/>
            </w:rPr>
          </w:pPr>
          <w:hyperlink w:anchor="_Toc86056323" w:history="1">
            <w:r w:rsidR="0046605D" w:rsidRPr="00112C09">
              <w:rPr>
                <w:rStyle w:val="Hyperlink"/>
              </w:rPr>
              <w:t>1.</w:t>
            </w:r>
            <w:r w:rsidR="0046605D">
              <w:rPr>
                <w:rFonts w:asciiTheme="minorHAnsi" w:eastAsiaTheme="minorEastAsia" w:hAnsiTheme="minorHAnsi" w:cstheme="minorBidi"/>
                <w:sz w:val="22"/>
                <w:szCs w:val="22"/>
              </w:rPr>
              <w:tab/>
            </w:r>
            <w:r w:rsidR="0046605D" w:rsidRPr="00112C09">
              <w:rPr>
                <w:rStyle w:val="Hyperlink"/>
              </w:rPr>
              <w:t>Introduction to entitlements</w:t>
            </w:r>
            <w:r w:rsidR="0046605D">
              <w:rPr>
                <w:webHidden/>
              </w:rPr>
              <w:tab/>
            </w:r>
            <w:r w:rsidR="0046605D">
              <w:rPr>
                <w:webHidden/>
              </w:rPr>
              <w:fldChar w:fldCharType="begin"/>
            </w:r>
            <w:r w:rsidR="0046605D">
              <w:rPr>
                <w:webHidden/>
              </w:rPr>
              <w:instrText xml:space="preserve"> PAGEREF _Toc86056323 \h </w:instrText>
            </w:r>
            <w:r w:rsidR="0046605D">
              <w:rPr>
                <w:webHidden/>
              </w:rPr>
            </w:r>
            <w:r w:rsidR="0046605D">
              <w:rPr>
                <w:webHidden/>
              </w:rPr>
              <w:fldChar w:fldCharType="separate"/>
            </w:r>
            <w:r w:rsidR="00AC11CA">
              <w:rPr>
                <w:webHidden/>
              </w:rPr>
              <w:t>5</w:t>
            </w:r>
            <w:r w:rsidR="0046605D">
              <w:rPr>
                <w:webHidden/>
              </w:rPr>
              <w:fldChar w:fldCharType="end"/>
            </w:r>
          </w:hyperlink>
        </w:p>
        <w:p w14:paraId="6B2346B4" w14:textId="28A43449" w:rsidR="0046605D" w:rsidRDefault="009A4283">
          <w:pPr>
            <w:pStyle w:val="TOC1"/>
            <w:rPr>
              <w:rFonts w:asciiTheme="minorHAnsi" w:eastAsiaTheme="minorEastAsia" w:hAnsiTheme="minorHAnsi" w:cstheme="minorBidi"/>
              <w:sz w:val="22"/>
              <w:szCs w:val="22"/>
            </w:rPr>
          </w:pPr>
          <w:hyperlink w:anchor="_Toc86056324" w:history="1">
            <w:r w:rsidR="0046605D" w:rsidRPr="00112C09">
              <w:rPr>
                <w:rStyle w:val="Hyperlink"/>
              </w:rPr>
              <w:t>1.1</w:t>
            </w:r>
            <w:r w:rsidR="0046605D">
              <w:rPr>
                <w:rFonts w:asciiTheme="minorHAnsi" w:eastAsiaTheme="minorEastAsia" w:hAnsiTheme="minorHAnsi" w:cstheme="minorBidi"/>
                <w:sz w:val="22"/>
                <w:szCs w:val="22"/>
              </w:rPr>
              <w:tab/>
            </w:r>
            <w:r w:rsidR="0046605D" w:rsidRPr="00112C09">
              <w:rPr>
                <w:rStyle w:val="Hyperlink"/>
              </w:rPr>
              <w:t>Temporary impairment (scenario)</w:t>
            </w:r>
            <w:r w:rsidR="0046605D">
              <w:rPr>
                <w:webHidden/>
              </w:rPr>
              <w:tab/>
            </w:r>
            <w:r w:rsidR="0046605D">
              <w:rPr>
                <w:webHidden/>
              </w:rPr>
              <w:fldChar w:fldCharType="begin"/>
            </w:r>
            <w:r w:rsidR="0046605D">
              <w:rPr>
                <w:webHidden/>
              </w:rPr>
              <w:instrText xml:space="preserve"> PAGEREF _Toc86056324 \h </w:instrText>
            </w:r>
            <w:r w:rsidR="0046605D">
              <w:rPr>
                <w:webHidden/>
              </w:rPr>
            </w:r>
            <w:r w:rsidR="0046605D">
              <w:rPr>
                <w:webHidden/>
              </w:rPr>
              <w:fldChar w:fldCharType="separate"/>
            </w:r>
            <w:r w:rsidR="00AC11CA">
              <w:rPr>
                <w:webHidden/>
              </w:rPr>
              <w:t>5</w:t>
            </w:r>
            <w:r w:rsidR="0046605D">
              <w:rPr>
                <w:webHidden/>
              </w:rPr>
              <w:fldChar w:fldCharType="end"/>
            </w:r>
          </w:hyperlink>
        </w:p>
        <w:p w14:paraId="435C5370" w14:textId="48CDFE88" w:rsidR="0046605D" w:rsidRDefault="009A4283" w:rsidP="00B41C82">
          <w:pPr>
            <w:pStyle w:val="TOC1"/>
            <w:spacing w:after="200"/>
            <w:rPr>
              <w:rFonts w:asciiTheme="minorHAnsi" w:eastAsiaTheme="minorEastAsia" w:hAnsiTheme="minorHAnsi" w:cstheme="minorBidi"/>
              <w:sz w:val="22"/>
              <w:szCs w:val="22"/>
            </w:rPr>
          </w:pPr>
          <w:hyperlink w:anchor="_Toc86056325" w:history="1">
            <w:r w:rsidR="0046605D" w:rsidRPr="00112C09">
              <w:rPr>
                <w:rStyle w:val="Hyperlink"/>
              </w:rPr>
              <w:t>Indicator 15 – Average percentage of pre-injury earnings for selected periods of incapacity, as of 1 January 2020</w:t>
            </w:r>
            <w:r w:rsidR="0046605D">
              <w:rPr>
                <w:webHidden/>
              </w:rPr>
              <w:tab/>
            </w:r>
            <w:r w:rsidR="0046605D">
              <w:rPr>
                <w:webHidden/>
              </w:rPr>
              <w:fldChar w:fldCharType="begin"/>
            </w:r>
            <w:r w:rsidR="0046605D">
              <w:rPr>
                <w:webHidden/>
              </w:rPr>
              <w:instrText xml:space="preserve"> PAGEREF _Toc86056325 \h </w:instrText>
            </w:r>
            <w:r w:rsidR="0046605D">
              <w:rPr>
                <w:webHidden/>
              </w:rPr>
            </w:r>
            <w:r w:rsidR="0046605D">
              <w:rPr>
                <w:webHidden/>
              </w:rPr>
              <w:fldChar w:fldCharType="separate"/>
            </w:r>
            <w:r w:rsidR="00AC11CA">
              <w:rPr>
                <w:webHidden/>
              </w:rPr>
              <w:t>6</w:t>
            </w:r>
            <w:r w:rsidR="0046605D">
              <w:rPr>
                <w:webHidden/>
              </w:rPr>
              <w:fldChar w:fldCharType="end"/>
            </w:r>
          </w:hyperlink>
        </w:p>
        <w:p w14:paraId="47F9C6D4" w14:textId="0A9D8A65" w:rsidR="0046605D" w:rsidRDefault="009A4283">
          <w:pPr>
            <w:pStyle w:val="TOC1"/>
            <w:rPr>
              <w:rFonts w:asciiTheme="minorHAnsi" w:eastAsiaTheme="minorEastAsia" w:hAnsiTheme="minorHAnsi" w:cstheme="minorBidi"/>
              <w:sz w:val="22"/>
              <w:szCs w:val="22"/>
            </w:rPr>
          </w:pPr>
          <w:hyperlink w:anchor="_Toc86056326" w:history="1">
            <w:r w:rsidR="0046605D" w:rsidRPr="00112C09">
              <w:rPr>
                <w:rStyle w:val="Hyperlink"/>
              </w:rPr>
              <w:t>1.2</w:t>
            </w:r>
            <w:r w:rsidR="0046605D">
              <w:rPr>
                <w:rFonts w:asciiTheme="minorHAnsi" w:eastAsiaTheme="minorEastAsia" w:hAnsiTheme="minorHAnsi" w:cstheme="minorBidi"/>
                <w:sz w:val="22"/>
                <w:szCs w:val="22"/>
              </w:rPr>
              <w:tab/>
            </w:r>
            <w:r w:rsidR="00945D82">
              <w:rPr>
                <w:rFonts w:asciiTheme="minorHAnsi" w:eastAsiaTheme="minorEastAsia" w:hAnsiTheme="minorHAnsi" w:cstheme="minorBidi"/>
                <w:sz w:val="22"/>
                <w:szCs w:val="22"/>
              </w:rPr>
              <w:t xml:space="preserve"> </w:t>
            </w:r>
            <w:r w:rsidR="0046605D" w:rsidRPr="00112C09">
              <w:rPr>
                <w:rStyle w:val="Hyperlink"/>
              </w:rPr>
              <w:t>Permanent impairment (scenario)</w:t>
            </w:r>
            <w:r w:rsidR="0046605D">
              <w:rPr>
                <w:webHidden/>
              </w:rPr>
              <w:tab/>
            </w:r>
            <w:r w:rsidR="0046605D">
              <w:rPr>
                <w:webHidden/>
              </w:rPr>
              <w:fldChar w:fldCharType="begin"/>
            </w:r>
            <w:r w:rsidR="0046605D">
              <w:rPr>
                <w:webHidden/>
              </w:rPr>
              <w:instrText xml:space="preserve"> PAGEREF _Toc86056326 \h </w:instrText>
            </w:r>
            <w:r w:rsidR="0046605D">
              <w:rPr>
                <w:webHidden/>
              </w:rPr>
            </w:r>
            <w:r w:rsidR="0046605D">
              <w:rPr>
                <w:webHidden/>
              </w:rPr>
              <w:fldChar w:fldCharType="separate"/>
            </w:r>
            <w:r w:rsidR="00AC11CA">
              <w:rPr>
                <w:webHidden/>
              </w:rPr>
              <w:t>6</w:t>
            </w:r>
            <w:r w:rsidR="0046605D">
              <w:rPr>
                <w:webHidden/>
              </w:rPr>
              <w:fldChar w:fldCharType="end"/>
            </w:r>
          </w:hyperlink>
        </w:p>
        <w:p w14:paraId="544D965F" w14:textId="5F1060E9" w:rsidR="0046605D" w:rsidRDefault="009A4283">
          <w:pPr>
            <w:pStyle w:val="TOC1"/>
            <w:rPr>
              <w:rFonts w:asciiTheme="minorHAnsi" w:eastAsiaTheme="minorEastAsia" w:hAnsiTheme="minorHAnsi" w:cstheme="minorBidi"/>
              <w:sz w:val="22"/>
              <w:szCs w:val="22"/>
            </w:rPr>
          </w:pPr>
          <w:hyperlink w:anchor="_Toc86056327" w:history="1">
            <w:r w:rsidR="0046605D" w:rsidRPr="00112C09">
              <w:rPr>
                <w:rStyle w:val="Hyperlink"/>
              </w:rPr>
              <w:t>1.3</w:t>
            </w:r>
            <w:r w:rsidR="0046605D">
              <w:rPr>
                <w:rFonts w:asciiTheme="minorHAnsi" w:eastAsiaTheme="minorEastAsia" w:hAnsiTheme="minorHAnsi" w:cstheme="minorBidi"/>
                <w:sz w:val="22"/>
                <w:szCs w:val="22"/>
              </w:rPr>
              <w:tab/>
            </w:r>
            <w:r w:rsidR="00945D82">
              <w:rPr>
                <w:rFonts w:asciiTheme="minorHAnsi" w:eastAsiaTheme="minorEastAsia" w:hAnsiTheme="minorHAnsi" w:cstheme="minorBidi"/>
                <w:sz w:val="22"/>
                <w:szCs w:val="22"/>
              </w:rPr>
              <w:t xml:space="preserve"> </w:t>
            </w:r>
            <w:r w:rsidR="0046605D" w:rsidRPr="00112C09">
              <w:rPr>
                <w:rStyle w:val="Hyperlink"/>
              </w:rPr>
              <w:t>Workplace fatality (scenario)</w:t>
            </w:r>
            <w:r w:rsidR="0046605D">
              <w:rPr>
                <w:webHidden/>
              </w:rPr>
              <w:tab/>
            </w:r>
            <w:r w:rsidR="0046605D">
              <w:rPr>
                <w:webHidden/>
              </w:rPr>
              <w:fldChar w:fldCharType="begin"/>
            </w:r>
            <w:r w:rsidR="0046605D">
              <w:rPr>
                <w:webHidden/>
              </w:rPr>
              <w:instrText xml:space="preserve"> PAGEREF _Toc86056327 \h </w:instrText>
            </w:r>
            <w:r w:rsidR="0046605D">
              <w:rPr>
                <w:webHidden/>
              </w:rPr>
            </w:r>
            <w:r w:rsidR="0046605D">
              <w:rPr>
                <w:webHidden/>
              </w:rPr>
              <w:fldChar w:fldCharType="separate"/>
            </w:r>
            <w:r w:rsidR="00AC11CA">
              <w:rPr>
                <w:webHidden/>
              </w:rPr>
              <w:t>7</w:t>
            </w:r>
            <w:r w:rsidR="0046605D">
              <w:rPr>
                <w:webHidden/>
              </w:rPr>
              <w:fldChar w:fldCharType="end"/>
            </w:r>
          </w:hyperlink>
        </w:p>
        <w:p w14:paraId="3F8E8ECE" w14:textId="1764B987" w:rsidR="0046605D" w:rsidRDefault="009A4283">
          <w:pPr>
            <w:pStyle w:val="TOC1"/>
            <w:rPr>
              <w:rFonts w:asciiTheme="minorHAnsi" w:eastAsiaTheme="minorEastAsia" w:hAnsiTheme="minorHAnsi" w:cstheme="minorBidi"/>
              <w:sz w:val="22"/>
              <w:szCs w:val="22"/>
            </w:rPr>
          </w:pPr>
          <w:hyperlink w:anchor="_Toc86056328" w:history="1">
            <w:r w:rsidR="0046605D" w:rsidRPr="00112C09">
              <w:rPr>
                <w:rStyle w:val="Hyperlink"/>
              </w:rPr>
              <w:t>Indicator 16 – Entitlements for permanent incapacity or fatality as at 1 January 2020</w:t>
            </w:r>
            <w:r w:rsidR="0046605D">
              <w:rPr>
                <w:webHidden/>
              </w:rPr>
              <w:tab/>
            </w:r>
            <w:r w:rsidR="0046605D">
              <w:rPr>
                <w:webHidden/>
              </w:rPr>
              <w:fldChar w:fldCharType="begin"/>
            </w:r>
            <w:r w:rsidR="0046605D">
              <w:rPr>
                <w:webHidden/>
              </w:rPr>
              <w:instrText xml:space="preserve"> PAGEREF _Toc86056328 \h </w:instrText>
            </w:r>
            <w:r w:rsidR="0046605D">
              <w:rPr>
                <w:webHidden/>
              </w:rPr>
            </w:r>
            <w:r w:rsidR="0046605D">
              <w:rPr>
                <w:webHidden/>
              </w:rPr>
              <w:fldChar w:fldCharType="separate"/>
            </w:r>
            <w:r w:rsidR="00AC11CA">
              <w:rPr>
                <w:webHidden/>
              </w:rPr>
              <w:t>8</w:t>
            </w:r>
            <w:r w:rsidR="0046605D">
              <w:rPr>
                <w:webHidden/>
              </w:rPr>
              <w:fldChar w:fldCharType="end"/>
            </w:r>
          </w:hyperlink>
        </w:p>
        <w:p w14:paraId="5B095BF0" w14:textId="744EC68B" w:rsidR="0046605D" w:rsidRDefault="009A4283">
          <w:pPr>
            <w:pStyle w:val="TOC1"/>
            <w:rPr>
              <w:rFonts w:asciiTheme="minorHAnsi" w:eastAsiaTheme="minorEastAsia" w:hAnsiTheme="minorHAnsi" w:cstheme="minorBidi"/>
              <w:sz w:val="22"/>
              <w:szCs w:val="22"/>
            </w:rPr>
          </w:pPr>
          <w:hyperlink w:anchor="_Toc86056329" w:history="1">
            <w:r w:rsidR="0046605D" w:rsidRPr="00112C09">
              <w:rPr>
                <w:rStyle w:val="Hyperlink"/>
              </w:rPr>
              <w:t>Appendix 1 – Notes for Indicator 15 and 16</w:t>
            </w:r>
            <w:r w:rsidR="0046605D">
              <w:rPr>
                <w:webHidden/>
              </w:rPr>
              <w:tab/>
            </w:r>
            <w:r w:rsidR="0046605D">
              <w:rPr>
                <w:webHidden/>
              </w:rPr>
              <w:fldChar w:fldCharType="begin"/>
            </w:r>
            <w:r w:rsidR="0046605D">
              <w:rPr>
                <w:webHidden/>
              </w:rPr>
              <w:instrText xml:space="preserve"> PAGEREF _Toc86056329 \h </w:instrText>
            </w:r>
            <w:r w:rsidR="0046605D">
              <w:rPr>
                <w:webHidden/>
              </w:rPr>
            </w:r>
            <w:r w:rsidR="0046605D">
              <w:rPr>
                <w:webHidden/>
              </w:rPr>
              <w:fldChar w:fldCharType="separate"/>
            </w:r>
            <w:r w:rsidR="00AC11CA">
              <w:rPr>
                <w:webHidden/>
              </w:rPr>
              <w:t>9</w:t>
            </w:r>
            <w:r w:rsidR="0046605D">
              <w:rPr>
                <w:webHidden/>
              </w:rPr>
              <w:fldChar w:fldCharType="end"/>
            </w:r>
          </w:hyperlink>
        </w:p>
        <w:p w14:paraId="1118DDA2" w14:textId="3661F7A0" w:rsidR="0046605D" w:rsidRDefault="009A4283">
          <w:pPr>
            <w:pStyle w:val="TOC1"/>
            <w:rPr>
              <w:rFonts w:asciiTheme="minorHAnsi" w:eastAsiaTheme="minorEastAsia" w:hAnsiTheme="minorHAnsi" w:cstheme="minorBidi"/>
              <w:sz w:val="22"/>
              <w:szCs w:val="22"/>
            </w:rPr>
          </w:pPr>
          <w:hyperlink w:anchor="_Toc86056330" w:history="1">
            <w:r w:rsidR="0046605D" w:rsidRPr="00112C09">
              <w:rPr>
                <w:rStyle w:val="Hyperlink"/>
              </w:rPr>
              <w:t>Appendix 2 – Jurisdictional contact information</w:t>
            </w:r>
            <w:r w:rsidR="0046605D">
              <w:rPr>
                <w:webHidden/>
              </w:rPr>
              <w:tab/>
            </w:r>
            <w:r w:rsidR="0046605D">
              <w:rPr>
                <w:webHidden/>
              </w:rPr>
              <w:fldChar w:fldCharType="begin"/>
            </w:r>
            <w:r w:rsidR="0046605D">
              <w:rPr>
                <w:webHidden/>
              </w:rPr>
              <w:instrText xml:space="preserve"> PAGEREF _Toc86056330 \h </w:instrText>
            </w:r>
            <w:r w:rsidR="0046605D">
              <w:rPr>
                <w:webHidden/>
              </w:rPr>
            </w:r>
            <w:r w:rsidR="0046605D">
              <w:rPr>
                <w:webHidden/>
              </w:rPr>
              <w:fldChar w:fldCharType="separate"/>
            </w:r>
            <w:r w:rsidR="00AC11CA">
              <w:rPr>
                <w:webHidden/>
              </w:rPr>
              <w:t>11</w:t>
            </w:r>
            <w:r w:rsidR="0046605D">
              <w:rPr>
                <w:webHidden/>
              </w:rPr>
              <w:fldChar w:fldCharType="end"/>
            </w:r>
          </w:hyperlink>
        </w:p>
        <w:p w14:paraId="2A6181A1" w14:textId="01FB425B" w:rsidR="0002740D" w:rsidRDefault="0002740D">
          <w:r w:rsidRPr="0002740D">
            <w:rPr>
              <w:b/>
              <w:bCs/>
              <w:noProof/>
            </w:rPr>
            <w:fldChar w:fldCharType="end"/>
          </w:r>
        </w:p>
      </w:sdtContent>
    </w:sdt>
    <w:p w14:paraId="70BA4956" w14:textId="3D069846" w:rsidR="004B79B6" w:rsidRDefault="004B79B6" w:rsidP="00643391">
      <w:pPr>
        <w:spacing w:before="180" w:after="180"/>
      </w:pPr>
      <w:bookmarkStart w:id="0" w:name="_Hlk56776859"/>
    </w:p>
    <w:p w14:paraId="7B9919BC" w14:textId="77777777" w:rsidR="00CA0F6D" w:rsidRDefault="00CA0F6D">
      <w:pPr>
        <w:spacing w:before="0" w:after="200" w:line="276" w:lineRule="auto"/>
        <w:jc w:val="left"/>
        <w:rPr>
          <w:rFonts w:ascii="Arial Bold" w:eastAsiaTheme="majorEastAsia" w:hAnsi="Arial Bold" w:cs="Arial"/>
          <w:b/>
          <w:bCs/>
          <w:color w:val="C00000"/>
          <w:kern w:val="28"/>
          <w:sz w:val="36"/>
          <w:szCs w:val="32"/>
          <w:lang w:eastAsia="en-US"/>
        </w:rPr>
      </w:pPr>
      <w:bookmarkStart w:id="1" w:name="_Toc56599599"/>
      <w:bookmarkStart w:id="2" w:name="_Toc79584098"/>
      <w:bookmarkEnd w:id="0"/>
      <w:r>
        <w:br w:type="page"/>
      </w:r>
    </w:p>
    <w:p w14:paraId="6D8218CF" w14:textId="77777777" w:rsidR="00716724" w:rsidRDefault="00716724" w:rsidP="00716724">
      <w:pPr>
        <w:pStyle w:val="Title"/>
        <w:tabs>
          <w:tab w:val="center" w:pos="8222"/>
        </w:tabs>
      </w:pPr>
      <w:bookmarkStart w:id="3" w:name="_Toc80188295"/>
      <w:bookmarkStart w:id="4" w:name="_Toc86056322"/>
      <w:r>
        <w:lastRenderedPageBreak/>
        <w:t>Foreword</w:t>
      </w:r>
      <w:bookmarkEnd w:id="3"/>
      <w:bookmarkEnd w:id="4"/>
    </w:p>
    <w:p w14:paraId="32FEA99F" w14:textId="77777777" w:rsidR="00716724" w:rsidRDefault="00716724" w:rsidP="00A30370">
      <w:r>
        <w:t>This is the 23</w:t>
      </w:r>
      <w:r w:rsidRPr="0023498B">
        <w:rPr>
          <w:vertAlign w:val="superscript"/>
        </w:rPr>
        <w:t>rd</w:t>
      </w:r>
      <w:r>
        <w:t xml:space="preserve"> edition of the Comparative Performance Monitoring (CPM) report which provides trend analyses about work health and safety and workers’ compensation schemes operating in Australia and New Zealand. </w:t>
      </w:r>
    </w:p>
    <w:p w14:paraId="6EBE0C4E" w14:textId="77777777" w:rsidR="00716724" w:rsidRDefault="00716724" w:rsidP="00A30370">
      <w:r>
        <w:t>This report has been compiled and coordinated by Safe Work Australia with assistance from representatives of all work health and safety and workers’ compensation authorities in Australia and New Zealand. Through a partnership of governments, employers and employees, Safe Work Australia leads the development of national policy to improve WHS and workers’ compensation arrangements across Australia.</w:t>
      </w:r>
    </w:p>
    <w:p w14:paraId="34A1224D" w14:textId="77777777" w:rsidR="00C15EED" w:rsidRDefault="00C15EED" w:rsidP="00C15EED">
      <w:r>
        <w:t>The report is presented in the following sections:</w:t>
      </w:r>
    </w:p>
    <w:p w14:paraId="50981B1F" w14:textId="77777777" w:rsidR="00716724" w:rsidRPr="00E336F9" w:rsidRDefault="00716724" w:rsidP="00FA6C0D">
      <w:pPr>
        <w:pStyle w:val="ListParagraph"/>
        <w:numPr>
          <w:ilvl w:val="0"/>
          <w:numId w:val="26"/>
        </w:numPr>
        <w:tabs>
          <w:tab w:val="left" w:pos="709"/>
        </w:tabs>
        <w:spacing w:before="60" w:after="60"/>
        <w:ind w:left="714" w:hanging="357"/>
        <w:rPr>
          <w:rStyle w:val="SWALinkChar"/>
          <w:rFonts w:eastAsiaTheme="majorEastAsia"/>
          <w:i/>
        </w:rPr>
      </w:pPr>
      <w:r w:rsidRPr="00E336F9">
        <w:rPr>
          <w:rStyle w:val="SWALinkChar"/>
          <w:rFonts w:eastAsiaTheme="majorEastAsia"/>
          <w:i/>
        </w:rPr>
        <w:t>Work health and safety performance</w:t>
      </w:r>
      <w:r w:rsidRPr="00C95CB2">
        <w:rPr>
          <w:rStyle w:val="SWALinkChar"/>
          <w:rFonts w:eastAsiaTheme="majorEastAsia"/>
          <w:iCs/>
          <w:u w:val="none"/>
        </w:rPr>
        <w:t xml:space="preserve"> – provides an overview of work health and safety performance across Australia and New Zealand through analysing trends in serious claim rates and work-related fatalities across jurisdictions.</w:t>
      </w:r>
    </w:p>
    <w:p w14:paraId="76555750" w14:textId="77777777" w:rsidR="00716724" w:rsidRPr="00E336F9" w:rsidRDefault="00716724" w:rsidP="00FA6C0D">
      <w:pPr>
        <w:pStyle w:val="ListParagraph"/>
        <w:numPr>
          <w:ilvl w:val="0"/>
          <w:numId w:val="26"/>
        </w:numPr>
        <w:tabs>
          <w:tab w:val="left" w:pos="709"/>
        </w:tabs>
        <w:spacing w:before="60" w:after="60"/>
        <w:ind w:left="714" w:hanging="357"/>
        <w:rPr>
          <w:rStyle w:val="SWALinkChar"/>
          <w:rFonts w:eastAsiaTheme="majorEastAsia"/>
          <w:i/>
        </w:rPr>
      </w:pPr>
      <w:r w:rsidRPr="00E336F9">
        <w:rPr>
          <w:rStyle w:val="SWALinkChar"/>
          <w:rFonts w:eastAsiaTheme="majorEastAsia"/>
          <w:i/>
        </w:rPr>
        <w:t>Work health and safety compliance and enforcement activities</w:t>
      </w:r>
      <w:r w:rsidRPr="00C95CB2">
        <w:rPr>
          <w:rStyle w:val="SWALinkChar"/>
          <w:rFonts w:eastAsiaTheme="majorEastAsia"/>
          <w:i/>
          <w:u w:val="none"/>
        </w:rPr>
        <w:t xml:space="preserve"> </w:t>
      </w:r>
      <w:r w:rsidRPr="00C95CB2">
        <w:rPr>
          <w:rStyle w:val="SWALinkChar"/>
          <w:rFonts w:eastAsiaTheme="majorEastAsia"/>
          <w:iCs/>
          <w:u w:val="none"/>
        </w:rPr>
        <w:t xml:space="preserve">– includes a jurisdictional comparison of workplace interventions, inspectorate activity, safety notices, enforceable undertakings, legal </w:t>
      </w:r>
      <w:proofErr w:type="gramStart"/>
      <w:r w:rsidRPr="00C95CB2">
        <w:rPr>
          <w:rStyle w:val="SWALinkChar"/>
          <w:rFonts w:eastAsiaTheme="majorEastAsia"/>
          <w:iCs/>
          <w:u w:val="none"/>
        </w:rPr>
        <w:t>proceedings</w:t>
      </w:r>
      <w:proofErr w:type="gramEnd"/>
      <w:r w:rsidRPr="00C95CB2">
        <w:rPr>
          <w:rStyle w:val="SWALinkChar"/>
          <w:rFonts w:eastAsiaTheme="majorEastAsia"/>
          <w:iCs/>
          <w:u w:val="none"/>
        </w:rPr>
        <w:t xml:space="preserve"> and fines.</w:t>
      </w:r>
    </w:p>
    <w:p w14:paraId="43039D36" w14:textId="77777777" w:rsidR="00716724" w:rsidRPr="00C95CB2" w:rsidRDefault="00716724" w:rsidP="00FA6C0D">
      <w:pPr>
        <w:pStyle w:val="ListParagraph"/>
        <w:numPr>
          <w:ilvl w:val="0"/>
          <w:numId w:val="26"/>
        </w:numPr>
        <w:tabs>
          <w:tab w:val="left" w:pos="709"/>
        </w:tabs>
        <w:spacing w:before="60" w:after="60"/>
        <w:ind w:left="714" w:hanging="357"/>
        <w:rPr>
          <w:rStyle w:val="SWALinkChar"/>
          <w:rFonts w:eastAsiaTheme="majorEastAsia"/>
          <w:i/>
          <w:u w:val="none"/>
        </w:rPr>
      </w:pPr>
      <w:r w:rsidRPr="00E336F9">
        <w:rPr>
          <w:rStyle w:val="SWALinkChar"/>
          <w:rFonts w:eastAsiaTheme="majorEastAsia"/>
          <w:i/>
        </w:rPr>
        <w:t>Workers’ compensation premiums</w:t>
      </w:r>
      <w:r w:rsidRPr="00C95CB2">
        <w:rPr>
          <w:rStyle w:val="SWALinkChar"/>
          <w:rFonts w:eastAsiaTheme="majorEastAsia"/>
          <w:i/>
          <w:u w:val="none"/>
        </w:rPr>
        <w:t xml:space="preserve"> </w:t>
      </w:r>
      <w:r w:rsidRPr="00C95CB2">
        <w:rPr>
          <w:rStyle w:val="SWALinkChar"/>
          <w:rFonts w:eastAsiaTheme="majorEastAsia"/>
          <w:iCs/>
          <w:u w:val="none"/>
        </w:rPr>
        <w:t>–</w:t>
      </w:r>
      <w:r w:rsidRPr="00C95CB2">
        <w:rPr>
          <w:rStyle w:val="SWALinkChar"/>
          <w:rFonts w:eastAsiaTheme="majorEastAsia"/>
          <w:i/>
          <w:u w:val="none"/>
        </w:rPr>
        <w:t xml:space="preserve"> </w:t>
      </w:r>
      <w:r w:rsidRPr="00C95CB2">
        <w:rPr>
          <w:rStyle w:val="SWALinkChar"/>
          <w:rFonts w:eastAsiaTheme="majorEastAsia"/>
          <w:iCs/>
          <w:u w:val="none"/>
        </w:rPr>
        <w:t>includes a national and jurisdictional overview of the standardised average premium rates by industry in the past 5 years.</w:t>
      </w:r>
    </w:p>
    <w:p w14:paraId="7CB2F1E9" w14:textId="1FB7A524" w:rsidR="00716724" w:rsidRPr="00E336F9" w:rsidRDefault="00716724" w:rsidP="00FA6C0D">
      <w:pPr>
        <w:pStyle w:val="ListParagraph"/>
        <w:numPr>
          <w:ilvl w:val="0"/>
          <w:numId w:val="26"/>
        </w:numPr>
        <w:tabs>
          <w:tab w:val="left" w:pos="709"/>
        </w:tabs>
        <w:spacing w:before="60" w:after="60"/>
        <w:ind w:left="714" w:hanging="357"/>
        <w:rPr>
          <w:rStyle w:val="SWALinkChar"/>
          <w:rFonts w:eastAsiaTheme="majorEastAsia"/>
          <w:i/>
        </w:rPr>
      </w:pPr>
      <w:r w:rsidRPr="00E336F9">
        <w:rPr>
          <w:rStyle w:val="SWALinkChar"/>
          <w:rFonts w:eastAsiaTheme="majorEastAsia"/>
          <w:i/>
        </w:rPr>
        <w:t>Entitlements under workers’ compensation (scenarios)</w:t>
      </w:r>
      <w:r w:rsidRPr="00C95CB2">
        <w:rPr>
          <w:rStyle w:val="SWALinkChar"/>
          <w:rFonts w:eastAsiaTheme="majorEastAsia"/>
          <w:i/>
          <w:u w:val="none"/>
        </w:rPr>
        <w:t xml:space="preserve"> </w:t>
      </w:r>
      <w:r w:rsidRPr="00C95CB2">
        <w:rPr>
          <w:rStyle w:val="SWALinkChar"/>
          <w:rFonts w:eastAsiaTheme="majorEastAsia"/>
          <w:iCs/>
          <w:u w:val="none"/>
        </w:rPr>
        <w:t>– illustrates the differences in entitlement levels across jurisdictions under several scenarios</w:t>
      </w:r>
      <w:r w:rsidR="008B43F5">
        <w:rPr>
          <w:rStyle w:val="SWALinkChar"/>
          <w:rFonts w:eastAsiaTheme="majorEastAsia"/>
          <w:iCs/>
          <w:u w:val="none"/>
        </w:rPr>
        <w:t xml:space="preserve"> </w:t>
      </w:r>
      <w:r w:rsidR="008B43F5" w:rsidRPr="00C95CB2">
        <w:rPr>
          <w:rStyle w:val="SWALinkChar"/>
          <w:rFonts w:eastAsiaTheme="majorEastAsia"/>
          <w:iCs/>
          <w:u w:val="none"/>
        </w:rPr>
        <w:t>(this section)</w:t>
      </w:r>
      <w:r w:rsidRPr="00C95CB2">
        <w:rPr>
          <w:rStyle w:val="SWALinkChar"/>
          <w:rFonts w:eastAsiaTheme="majorEastAsia"/>
          <w:iCs/>
          <w:u w:val="none"/>
        </w:rPr>
        <w:t>.</w:t>
      </w:r>
    </w:p>
    <w:p w14:paraId="77F77AEA" w14:textId="4AAC95C0" w:rsidR="00716724" w:rsidRPr="00E336F9" w:rsidRDefault="00716724" w:rsidP="00FA6C0D">
      <w:pPr>
        <w:pStyle w:val="ListParagraph"/>
        <w:numPr>
          <w:ilvl w:val="0"/>
          <w:numId w:val="26"/>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sidRPr="00BD2C17">
        <w:rPr>
          <w:rStyle w:val="SWALinkChar"/>
          <w:rFonts w:eastAsiaTheme="majorEastAsia"/>
          <w:i/>
        </w:rPr>
        <w:t xml:space="preserve">funding – assets, </w:t>
      </w:r>
      <w:proofErr w:type="gramStart"/>
      <w:r w:rsidRPr="00BD2C17">
        <w:rPr>
          <w:rStyle w:val="SWALinkChar"/>
          <w:rFonts w:eastAsiaTheme="majorEastAsia"/>
          <w:i/>
        </w:rPr>
        <w:t>liabilities</w:t>
      </w:r>
      <w:proofErr w:type="gramEnd"/>
      <w:r w:rsidRPr="00BD2C17">
        <w:rPr>
          <w:rStyle w:val="SWALinkChar"/>
          <w:rFonts w:eastAsiaTheme="majorEastAsia"/>
          <w:i/>
        </w:rPr>
        <w:t xml:space="preserve"> and expenditure</w:t>
      </w:r>
      <w:r w:rsidRPr="00C95CB2">
        <w:rPr>
          <w:rStyle w:val="SWALinkChar"/>
          <w:rFonts w:eastAsiaTheme="majorEastAsia"/>
          <w:iCs/>
          <w:u w:val="none"/>
        </w:rPr>
        <w:t xml:space="preserve"> – includes information about the different funding arrangements of the schemes and compares the differences in scheme funding arrangements and finances.</w:t>
      </w:r>
    </w:p>
    <w:p w14:paraId="6C336C33" w14:textId="25646C20" w:rsidR="00716724" w:rsidRPr="00E336F9" w:rsidRDefault="00716724" w:rsidP="00FA6C0D">
      <w:pPr>
        <w:pStyle w:val="ListParagraph"/>
        <w:numPr>
          <w:ilvl w:val="0"/>
          <w:numId w:val="26"/>
        </w:numPr>
        <w:tabs>
          <w:tab w:val="left" w:pos="709"/>
        </w:tabs>
        <w:spacing w:before="60" w:after="60"/>
        <w:ind w:left="714" w:hanging="357"/>
        <w:rPr>
          <w:rStyle w:val="SWALinkChar"/>
          <w:rFonts w:eastAsiaTheme="majorEastAsia"/>
          <w:i/>
        </w:rPr>
      </w:pPr>
      <w:r w:rsidRPr="00E336F9">
        <w:rPr>
          <w:rStyle w:val="SWALinkChar"/>
          <w:rFonts w:eastAsiaTheme="majorEastAsia"/>
          <w:i/>
        </w:rPr>
        <w:t xml:space="preserve">Workers’ compensation </w:t>
      </w:r>
      <w:r>
        <w:rPr>
          <w:rStyle w:val="SWALinkChar"/>
          <w:rFonts w:eastAsiaTheme="majorEastAsia"/>
          <w:i/>
        </w:rPr>
        <w:t>disputes</w:t>
      </w:r>
      <w:r w:rsidRPr="00C95CB2">
        <w:rPr>
          <w:rStyle w:val="SWALinkChar"/>
          <w:rFonts w:eastAsiaTheme="majorEastAsia"/>
          <w:i/>
          <w:u w:val="none"/>
        </w:rPr>
        <w:t xml:space="preserve"> </w:t>
      </w:r>
      <w:r w:rsidRPr="00C95CB2">
        <w:rPr>
          <w:rStyle w:val="SWALinkChar"/>
          <w:rFonts w:eastAsiaTheme="majorEastAsia"/>
          <w:iCs/>
          <w:u w:val="none"/>
        </w:rPr>
        <w:t>– includes information about disputes against an insurer’s decision or decisions relating to compensation.</w:t>
      </w:r>
    </w:p>
    <w:p w14:paraId="3B9BB1BE" w14:textId="716EF916" w:rsidR="00965C0B" w:rsidRDefault="00965C0B" w:rsidP="00A30370">
      <w:r>
        <w:t xml:space="preserve">Previous editions of the CPM report also included </w:t>
      </w:r>
      <w:bookmarkStart w:id="5" w:name="_Hlk80886161"/>
      <w:r>
        <w:t xml:space="preserve">return to work rates </w:t>
      </w:r>
      <w:bookmarkEnd w:id="5"/>
      <w:r>
        <w:t xml:space="preserve">as measured in the National Return to Work Survey. At the time of writing, the latest available survey results </w:t>
      </w:r>
      <w:r w:rsidR="00267CEA">
        <w:t xml:space="preserve">were </w:t>
      </w:r>
      <w:r>
        <w:t xml:space="preserve">from the 2018 Survey. For trend data on the return to work rates (from 2012 to 2018) please refer to the </w:t>
      </w:r>
      <w:hyperlink r:id="rId12" w:history="1">
        <w:r w:rsidRPr="00193B1D">
          <w:rPr>
            <w:rStyle w:val="Hyperlink"/>
            <w:i/>
            <w:iCs/>
            <w:color w:val="000000" w:themeColor="text1"/>
          </w:rPr>
          <w:t>22</w:t>
        </w:r>
        <w:r w:rsidRPr="00193B1D">
          <w:rPr>
            <w:rStyle w:val="Hyperlink"/>
            <w:i/>
            <w:iCs/>
            <w:color w:val="000000" w:themeColor="text1"/>
            <w:vertAlign w:val="superscript"/>
          </w:rPr>
          <w:t>nd</w:t>
        </w:r>
        <w:r w:rsidRPr="00193B1D">
          <w:rPr>
            <w:rStyle w:val="Hyperlink"/>
            <w:i/>
            <w:iCs/>
            <w:color w:val="000000" w:themeColor="text1"/>
          </w:rPr>
          <w:t xml:space="preserve"> edition of the CPM (Part 3)</w:t>
        </w:r>
      </w:hyperlink>
      <w:r w:rsidRPr="00965C0B">
        <w:rPr>
          <w:color w:val="000000" w:themeColor="text1"/>
        </w:rPr>
        <w:t xml:space="preserve">. </w:t>
      </w:r>
      <w:r w:rsidR="00DC7263">
        <w:rPr>
          <w:color w:val="000000" w:themeColor="text1"/>
        </w:rPr>
        <w:t>Results from t</w:t>
      </w:r>
      <w:r w:rsidR="00DC7263">
        <w:t xml:space="preserve">he 2021 National Return to Work Survey will be published on the </w:t>
      </w:r>
      <w:hyperlink r:id="rId13" w:history="1">
        <w:r w:rsidR="00DC7263" w:rsidRPr="001D28CE">
          <w:rPr>
            <w:rStyle w:val="Hyperlink"/>
            <w:rFonts w:eastAsiaTheme="majorEastAsia"/>
            <w:color w:val="auto"/>
          </w:rPr>
          <w:t>Safe Work Australia</w:t>
        </w:r>
      </w:hyperlink>
      <w:r w:rsidR="00DC7263" w:rsidRPr="00DC1D71">
        <w:t xml:space="preserve"> w</w:t>
      </w:r>
      <w:r w:rsidR="00DC7263">
        <w:t>ebsite from late 2021</w:t>
      </w:r>
      <w:r>
        <w:t xml:space="preserve">. </w:t>
      </w:r>
    </w:p>
    <w:p w14:paraId="7EBAD318" w14:textId="7D548038" w:rsidR="00716724" w:rsidRDefault="00716724" w:rsidP="00A30370">
      <w:r w:rsidRPr="0019584A">
        <w:t xml:space="preserve">Readers may find the </w:t>
      </w:r>
      <w:hyperlink r:id="rId14" w:history="1">
        <w:r w:rsidRPr="0019584A">
          <w:rPr>
            <w:rStyle w:val="SWALinkChar"/>
            <w:rFonts w:eastAsiaTheme="majorEastAsia"/>
            <w:i/>
          </w:rPr>
          <w:t>Comparison of Workers’ Compensation Arrangements in Australia and New Zealand</w:t>
        </w:r>
      </w:hyperlink>
      <w:r w:rsidRPr="0019584A">
        <w:t xml:space="preserve"> useful as it discusses the way that each scheme deals with key aspects such </w:t>
      </w:r>
      <w:r>
        <w:t xml:space="preserve">as coverage, benefits, self-insurance, common law and disputes. </w:t>
      </w:r>
    </w:p>
    <w:p w14:paraId="60413DBF" w14:textId="77777777" w:rsidR="00716724" w:rsidRDefault="00716724" w:rsidP="00A30370">
      <w:pPr>
        <w:rPr>
          <w:i/>
          <w:iCs/>
        </w:rPr>
      </w:pPr>
      <w:r>
        <w:rPr>
          <w:i/>
          <w:iCs/>
        </w:rPr>
        <w:t>About the data</w:t>
      </w:r>
    </w:p>
    <w:p w14:paraId="41EAB64F" w14:textId="3D28699D" w:rsidR="00716724" w:rsidRDefault="00716724" w:rsidP="00A30370">
      <w:r>
        <w:t xml:space="preserve">Data in this publication may differ from jurisdictional annual reports due to the use of different definitions and the application of adjustment factors to aid in the comparability of data. </w:t>
      </w:r>
    </w:p>
    <w:p w14:paraId="526872D7" w14:textId="1F555DDB" w:rsidR="00EF7C5D" w:rsidRDefault="00FA6C0D" w:rsidP="00A30370">
      <w:r w:rsidRPr="00FA6C0D">
        <w:t xml:space="preserve">These statistics should be considered in the broader context of </w:t>
      </w:r>
      <w:r w:rsidR="000136C0">
        <w:t xml:space="preserve">the COVID-19 pandemic </w:t>
      </w:r>
      <w:r w:rsidRPr="00FA6C0D">
        <w:t xml:space="preserve">when comparing data over previous periods. The potential impact of the COVID-19 pandemic on this data are explored in the </w:t>
      </w:r>
      <w:hyperlink r:id="rId15" w:history="1">
        <w:r w:rsidRPr="00E17359">
          <w:rPr>
            <w:rStyle w:val="Hyperlink"/>
            <w:i/>
            <w:iCs/>
            <w:color w:val="auto"/>
          </w:rPr>
          <w:t xml:space="preserve">COVID-19 and </w:t>
        </w:r>
        <w:r w:rsidR="002972AD" w:rsidRPr="00E17359">
          <w:rPr>
            <w:rStyle w:val="Hyperlink"/>
            <w:i/>
            <w:iCs/>
            <w:color w:val="auto"/>
          </w:rPr>
          <w:t>Safe Work Australia data</w:t>
        </w:r>
      </w:hyperlink>
      <w:r w:rsidRPr="00FA6C0D">
        <w:t xml:space="preserve"> report.</w:t>
      </w:r>
    </w:p>
    <w:p w14:paraId="0C96097F" w14:textId="77777777" w:rsidR="00ED3B43" w:rsidRDefault="00ED3B43" w:rsidP="00A30370">
      <w:pPr>
        <w:pStyle w:val="SWABullets"/>
        <w:numPr>
          <w:ilvl w:val="0"/>
          <w:numId w:val="0"/>
        </w:numPr>
      </w:pPr>
      <w:r>
        <w:t>The CPM does not currently include information or data from other industry-specific regulators that have responsibilities with respect to WHS and workers’ compensation. These include national industry-based regulators with compliance and enforcement roles such as the National Heavy Vehicle Regulator, the National Rail Safety Regulator and the National Offshore Petroleum Safety and Environmental Management Authority, and other agencies with responsibility for industry</w:t>
      </w:r>
      <w:r>
        <w:noBreakHyphen/>
        <w:t>specific compensation claims. Further information on these regulators can be found on their respective websites.</w:t>
      </w:r>
    </w:p>
    <w:p w14:paraId="4EB549EA" w14:textId="45FE4B5C" w:rsidR="00A45F33" w:rsidRDefault="00413F4E" w:rsidP="00A30370">
      <w:pPr>
        <w:rPr>
          <w:b/>
        </w:rPr>
        <w:sectPr w:rsidR="00A45F33" w:rsidSect="00C50144">
          <w:headerReference w:type="first" r:id="rId16"/>
          <w:footerReference w:type="first" r:id="rId17"/>
          <w:pgSz w:w="11906" w:h="16838"/>
          <w:pgMar w:top="993" w:right="1800" w:bottom="1440" w:left="1276" w:header="708" w:footer="708" w:gutter="0"/>
          <w:cols w:space="242"/>
          <w:titlePg/>
          <w:docGrid w:linePitch="360"/>
        </w:sectPr>
      </w:pPr>
      <w:r w:rsidRPr="00413F4E">
        <w:t>In this report ‘Australian Government’ is used for indicators relating to WHS and workers’ compensation matters under the Australian Government jurisdiction, while ‘Comcare’ is used for the indicators relating to premium rates and entitlements.</w:t>
      </w:r>
      <w:bookmarkStart w:id="6" w:name="_Hlk54968570"/>
      <w:bookmarkEnd w:id="1"/>
      <w:bookmarkEnd w:id="2"/>
    </w:p>
    <w:p w14:paraId="08344091" w14:textId="5E521EC1" w:rsidR="006D31F5" w:rsidRDefault="0002740D" w:rsidP="0047156B">
      <w:pPr>
        <w:pStyle w:val="SWASectionnumberingheading"/>
      </w:pPr>
      <w:bookmarkStart w:id="7" w:name="_Toc86056323"/>
      <w:bookmarkEnd w:id="6"/>
      <w:r>
        <w:lastRenderedPageBreak/>
        <w:t>Introduction to entitlements</w:t>
      </w:r>
      <w:bookmarkEnd w:id="7"/>
    </w:p>
    <w:p w14:paraId="579DA6C5" w14:textId="43F4EB41" w:rsidR="006D31F5" w:rsidRDefault="00650003" w:rsidP="00C811CD">
      <w:pPr>
        <w:pStyle w:val="BodyJustified"/>
      </w:pPr>
      <w:r>
        <w:t>E</w:t>
      </w:r>
      <w:r w:rsidR="006D31F5">
        <w:t xml:space="preserve">ntitlements </w:t>
      </w:r>
      <w:r>
        <w:t xml:space="preserve">are </w:t>
      </w:r>
      <w:r w:rsidR="006D31F5">
        <w:t xml:space="preserve">payable under workers’ compensation in the event an employee is injured or develops a work-related disease. </w:t>
      </w:r>
    </w:p>
    <w:p w14:paraId="17FD70F7" w14:textId="4C8000DD" w:rsidR="00FB746B" w:rsidRDefault="001A4211" w:rsidP="00C811CD">
      <w:pPr>
        <w:pStyle w:val="BodyJustified"/>
        <w:rPr>
          <w:i/>
          <w:iCs/>
        </w:rPr>
      </w:pPr>
      <w:r>
        <w:t xml:space="preserve">To illustrate the differences </w:t>
      </w:r>
      <w:r w:rsidR="000C0CC9">
        <w:t xml:space="preserve">in </w:t>
      </w:r>
      <w:r w:rsidR="000C0CC9" w:rsidRPr="000C0CC9">
        <w:t>entitlement levels across jurisdictions</w:t>
      </w:r>
      <w:r w:rsidR="000C0CC9">
        <w:t>, this</w:t>
      </w:r>
      <w:r w:rsidR="002E2527">
        <w:t xml:space="preserve"> section</w:t>
      </w:r>
      <w:r w:rsidR="000C0CC9">
        <w:t xml:space="preserve"> </w:t>
      </w:r>
      <w:r w:rsidR="009C6DA8">
        <w:t>calculates</w:t>
      </w:r>
      <w:r w:rsidR="00877C83">
        <w:t xml:space="preserve"> </w:t>
      </w:r>
      <w:r w:rsidR="00877C83" w:rsidRPr="00877C83">
        <w:t>indicative</w:t>
      </w:r>
      <w:r w:rsidR="00877C83">
        <w:t xml:space="preserve"> entitlement payments under three </w:t>
      </w:r>
      <w:r w:rsidR="000C0CC9">
        <w:t>different scenarios.</w:t>
      </w:r>
      <w:r w:rsidR="000616F6">
        <w:t xml:space="preserve"> </w:t>
      </w:r>
      <w:r w:rsidR="00FB746B">
        <w:t>Th</w:t>
      </w:r>
      <w:r w:rsidR="000616F6">
        <w:t>ese</w:t>
      </w:r>
      <w:r w:rsidR="00FB746B">
        <w:t xml:space="preserve"> </w:t>
      </w:r>
      <w:r w:rsidR="002E2527">
        <w:t>scenarios</w:t>
      </w:r>
      <w:r w:rsidR="00FB746B">
        <w:t xml:space="preserve"> </w:t>
      </w:r>
      <w:r w:rsidR="000616F6">
        <w:t xml:space="preserve">cover </w:t>
      </w:r>
      <w:r w:rsidR="00FB746B">
        <w:t xml:space="preserve">entitlements for </w:t>
      </w:r>
      <w:r w:rsidR="009C6DA8">
        <w:t xml:space="preserve">a </w:t>
      </w:r>
      <w:r w:rsidR="00FB746B" w:rsidRPr="00FB746B">
        <w:rPr>
          <w:i/>
          <w:iCs/>
        </w:rPr>
        <w:t>temporary impairment, permanent</w:t>
      </w:r>
      <w:r w:rsidR="002E2527">
        <w:rPr>
          <w:i/>
          <w:iCs/>
        </w:rPr>
        <w:t> </w:t>
      </w:r>
      <w:proofErr w:type="gramStart"/>
      <w:r w:rsidR="002E2527" w:rsidRPr="00FB746B">
        <w:rPr>
          <w:i/>
          <w:iCs/>
        </w:rPr>
        <w:t>impairment</w:t>
      </w:r>
      <w:proofErr w:type="gramEnd"/>
      <w:r w:rsidR="00FB746B" w:rsidRPr="00FB746B">
        <w:rPr>
          <w:i/>
          <w:iCs/>
        </w:rPr>
        <w:t xml:space="preserve"> </w:t>
      </w:r>
      <w:r w:rsidR="00FB746B" w:rsidRPr="002E2527">
        <w:t>and</w:t>
      </w:r>
      <w:r w:rsidR="00FB746B" w:rsidRPr="00FB746B">
        <w:rPr>
          <w:i/>
          <w:iCs/>
        </w:rPr>
        <w:t xml:space="preserve"> fatalit</w:t>
      </w:r>
      <w:r w:rsidR="002E2527">
        <w:rPr>
          <w:i/>
          <w:iCs/>
        </w:rPr>
        <w:t>y</w:t>
      </w:r>
      <w:r w:rsidR="00FB746B">
        <w:rPr>
          <w:i/>
          <w:iCs/>
        </w:rPr>
        <w:t>.</w:t>
      </w:r>
      <w:r w:rsidR="000616F6">
        <w:rPr>
          <w:i/>
          <w:iCs/>
        </w:rPr>
        <w:t xml:space="preserve"> </w:t>
      </w:r>
    </w:p>
    <w:p w14:paraId="70E3797C" w14:textId="5F5292EC" w:rsidR="00FB746B" w:rsidRDefault="000E6AAB" w:rsidP="00FB746B">
      <w:pPr>
        <w:pStyle w:val="BodyJustified"/>
      </w:pPr>
      <w:r>
        <w:t>This section</w:t>
      </w:r>
      <w:r w:rsidRPr="00FB746B">
        <w:t xml:space="preserve"> </w:t>
      </w:r>
      <w:r w:rsidR="00FB746B" w:rsidRPr="00FB746B">
        <w:t xml:space="preserve">also </w:t>
      </w:r>
      <w:r w:rsidR="00877C83">
        <w:t>demonstrates</w:t>
      </w:r>
      <w:r w:rsidR="00FB746B" w:rsidRPr="00FB746B">
        <w:t xml:space="preserve"> the differences </w:t>
      </w:r>
      <w:r w:rsidR="00877C83">
        <w:t>between</w:t>
      </w:r>
      <w:r w:rsidR="00FB746B">
        <w:t xml:space="preserve"> </w:t>
      </w:r>
      <w:proofErr w:type="gramStart"/>
      <w:r w:rsidR="00FB746B" w:rsidRPr="00FB746B">
        <w:rPr>
          <w:i/>
          <w:iCs/>
        </w:rPr>
        <w:t>low, middle and high income</w:t>
      </w:r>
      <w:proofErr w:type="gramEnd"/>
      <w:r w:rsidR="00FB746B" w:rsidRPr="00FB746B">
        <w:rPr>
          <w:i/>
          <w:iCs/>
        </w:rPr>
        <w:t xml:space="preserve"> employees</w:t>
      </w:r>
      <w:r w:rsidR="00FB746B">
        <w:t xml:space="preserve"> by using pre-injury earnings of $1,150 gross per week, $1,800 gross per week and $2,400 gross per week</w:t>
      </w:r>
      <w:r w:rsidR="000616F6">
        <w:rPr>
          <w:vertAlign w:val="superscript"/>
        </w:rPr>
        <w:t>1</w:t>
      </w:r>
      <w:r w:rsidR="00FB746B">
        <w:t>. These profiles have been chosen to highlight the statutory maximum entitlements payable, as well as jurisdictional differences in entitlements to workers employed on different income levels.</w:t>
      </w:r>
    </w:p>
    <w:p w14:paraId="5613BC94" w14:textId="163ADB23" w:rsidR="006D31F5" w:rsidRDefault="006D31F5" w:rsidP="00C811CD">
      <w:pPr>
        <w:pStyle w:val="BodyJustified"/>
      </w:pPr>
      <w:proofErr w:type="gramStart"/>
      <w:r>
        <w:t>A brief summary</w:t>
      </w:r>
      <w:proofErr w:type="gramEnd"/>
      <w:r>
        <w:t xml:space="preserve"> of how entitlements are calculated is contained in </w:t>
      </w:r>
      <w:r w:rsidR="002925A3" w:rsidRPr="000616F6">
        <w:rPr>
          <w:i/>
          <w:iCs/>
        </w:rPr>
        <w:t>Appendix 1</w:t>
      </w:r>
      <w:r w:rsidR="000616F6">
        <w:rPr>
          <w:i/>
          <w:iCs/>
        </w:rPr>
        <w:t xml:space="preserve"> – </w:t>
      </w:r>
      <w:r w:rsidR="000616F6" w:rsidRPr="000616F6">
        <w:rPr>
          <w:i/>
          <w:iCs/>
        </w:rPr>
        <w:t xml:space="preserve">Features of Australian workers’ compensation schemes </w:t>
      </w:r>
      <w:r w:rsidR="000616F6">
        <w:t>at</w:t>
      </w:r>
      <w:r w:rsidR="002925A3">
        <w:t xml:space="preserve"> the end of this </w:t>
      </w:r>
      <w:r w:rsidR="000616F6">
        <w:t>se</w:t>
      </w:r>
      <w:r w:rsidR="000616F6" w:rsidRPr="00716724">
        <w:t>ction</w:t>
      </w:r>
      <w:r w:rsidR="001A4211" w:rsidRPr="00716724">
        <w:t xml:space="preserve">. </w:t>
      </w:r>
      <w:r w:rsidRPr="00716724">
        <w:t xml:space="preserve">More detailed information </w:t>
      </w:r>
      <w:r w:rsidR="001A4211" w:rsidRPr="00716724">
        <w:t xml:space="preserve">about the differences between schemes </w:t>
      </w:r>
      <w:r w:rsidRPr="00716724">
        <w:t xml:space="preserve">can </w:t>
      </w:r>
      <w:r w:rsidR="001A4211" w:rsidRPr="00716724">
        <w:t xml:space="preserve">also </w:t>
      </w:r>
      <w:r w:rsidRPr="00716724">
        <w:t xml:space="preserve">be found in the </w:t>
      </w:r>
      <w:hyperlink r:id="rId18" w:history="1">
        <w:r w:rsidRPr="00716724">
          <w:rPr>
            <w:rStyle w:val="Hyperlink"/>
            <w:i/>
            <w:iCs/>
            <w:color w:val="auto"/>
          </w:rPr>
          <w:t>Comparison of Workers’ Compensation Arrangements in Australia and New Zealand</w:t>
        </w:r>
      </w:hyperlink>
      <w:r w:rsidRPr="00716724">
        <w:rPr>
          <w:rStyle w:val="Classificationitalics"/>
        </w:rPr>
        <w:t xml:space="preserve"> </w:t>
      </w:r>
      <w:r w:rsidRPr="00716724">
        <w:t xml:space="preserve">publication </w:t>
      </w:r>
      <w:r w:rsidR="00DF7E9F" w:rsidRPr="00716724">
        <w:t>on</w:t>
      </w:r>
      <w:r w:rsidRPr="00716724">
        <w:t xml:space="preserve"> the </w:t>
      </w:r>
      <w:hyperlink r:id="rId19" w:history="1">
        <w:r w:rsidRPr="00716724">
          <w:rPr>
            <w:rStyle w:val="SWALinkChar"/>
            <w:rFonts w:eastAsiaTheme="minorHAnsi"/>
          </w:rPr>
          <w:t>Safe Work Australia</w:t>
        </w:r>
      </w:hyperlink>
      <w:r w:rsidRPr="00716724">
        <w:t xml:space="preserve"> website</w:t>
      </w:r>
      <w:r>
        <w:t>.</w:t>
      </w:r>
    </w:p>
    <w:p w14:paraId="1596CE75" w14:textId="21976245" w:rsidR="006D31F5" w:rsidRPr="00FC7F4C" w:rsidRDefault="006D31F5" w:rsidP="00FC7F4C">
      <w:pPr>
        <w:pStyle w:val="SWASectionnum2"/>
      </w:pPr>
      <w:bookmarkStart w:id="8" w:name="_Toc79584100"/>
      <w:bookmarkStart w:id="9" w:name="_Toc86056324"/>
      <w:r w:rsidRPr="00FC7F4C">
        <w:t>Temporary impairment</w:t>
      </w:r>
      <w:bookmarkEnd w:id="8"/>
      <w:r w:rsidR="00656AF6">
        <w:t xml:space="preserve"> </w:t>
      </w:r>
      <w:r w:rsidR="0002740D">
        <w:t>(scenario)</w:t>
      </w:r>
      <w:bookmarkEnd w:id="9"/>
    </w:p>
    <w:p w14:paraId="18B353A6" w14:textId="77777777" w:rsidR="00FB746B" w:rsidRDefault="00070430" w:rsidP="00C811CD">
      <w:pPr>
        <w:pStyle w:val="BodyJustified"/>
      </w:pPr>
      <w:r>
        <w:t>Impairment is assessed as temporary when</w:t>
      </w:r>
      <w:r w:rsidR="007F7F97">
        <w:t xml:space="preserve"> the injury or illness </w:t>
      </w:r>
      <w:r>
        <w:t xml:space="preserve">is not likely to continue </w:t>
      </w:r>
      <w:proofErr w:type="gramStart"/>
      <w:r>
        <w:t>indefinitely</w:t>
      </w:r>
      <w:proofErr w:type="gramEnd"/>
      <w:r>
        <w:t xml:space="preserve"> and </w:t>
      </w:r>
      <w:r w:rsidR="00726F3C">
        <w:t xml:space="preserve">the </w:t>
      </w:r>
      <w:r>
        <w:t xml:space="preserve">employee remains unable to work for a period of time </w:t>
      </w:r>
      <w:r w:rsidR="00071A12">
        <w:t xml:space="preserve">before </w:t>
      </w:r>
      <w:r>
        <w:t>return</w:t>
      </w:r>
      <w:r w:rsidR="00071A12">
        <w:t>ing</w:t>
      </w:r>
      <w:r>
        <w:t xml:space="preserve"> to previous duties on a</w:t>
      </w:r>
      <w:r w:rsidR="007F7F97">
        <w:t>n ongoing</w:t>
      </w:r>
      <w:r>
        <w:t xml:space="preserve"> basis. </w:t>
      </w:r>
    </w:p>
    <w:p w14:paraId="557B1ABF" w14:textId="672A3A4B" w:rsidR="006D31F5" w:rsidRDefault="006D31F5" w:rsidP="00C811CD">
      <w:pPr>
        <w:pStyle w:val="BodyJustified"/>
      </w:pPr>
      <w:r>
        <w:t xml:space="preserve">This example details how jurisdictions compensate low, </w:t>
      </w:r>
      <w:proofErr w:type="gramStart"/>
      <w:r>
        <w:t>middle</w:t>
      </w:r>
      <w:proofErr w:type="gramEnd"/>
      <w:r>
        <w:t xml:space="preserve"> and high income</w:t>
      </w:r>
      <w:r w:rsidR="00615DD6">
        <w:rPr>
          <w:rStyle w:val="FootnoteReference"/>
        </w:rPr>
        <w:footnoteReference w:id="1"/>
      </w:r>
      <w:r>
        <w:t xml:space="preserve"> employees during selected periods of temporary impairment. </w:t>
      </w:r>
    </w:p>
    <w:p w14:paraId="072F5F29" w14:textId="32543CD5" w:rsidR="006D31F5" w:rsidRPr="00877C83" w:rsidRDefault="006D31F5" w:rsidP="00A5500D">
      <w:pPr>
        <w:pStyle w:val="SWADisclaimerheading"/>
        <w:rPr>
          <w:i/>
          <w:iCs/>
          <w:szCs w:val="20"/>
        </w:rPr>
      </w:pPr>
      <w:r w:rsidRPr="002E0253">
        <w:rPr>
          <w:i/>
          <w:iCs/>
          <w:sz w:val="20"/>
          <w:szCs w:val="20"/>
        </w:rPr>
        <w:t>Scenario</w:t>
      </w:r>
      <w:r w:rsidR="0056152E" w:rsidRPr="002E0253">
        <w:rPr>
          <w:i/>
          <w:iCs/>
          <w:sz w:val="20"/>
          <w:szCs w:val="20"/>
        </w:rPr>
        <w:t xml:space="preserve">: </w:t>
      </w:r>
      <w:r w:rsidRPr="00A5500D">
        <w:rPr>
          <w:i/>
          <w:iCs/>
          <w:sz w:val="20"/>
          <w:szCs w:val="20"/>
        </w:rPr>
        <w:t xml:space="preserve">The employee remains unable to work for </w:t>
      </w:r>
      <w:proofErr w:type="gramStart"/>
      <w:r w:rsidRPr="00A5500D">
        <w:rPr>
          <w:i/>
          <w:iCs/>
          <w:sz w:val="20"/>
          <w:szCs w:val="20"/>
        </w:rPr>
        <w:t>a period of time</w:t>
      </w:r>
      <w:proofErr w:type="gramEnd"/>
      <w:r w:rsidRPr="00A5500D">
        <w:rPr>
          <w:i/>
          <w:iCs/>
          <w:sz w:val="20"/>
          <w:szCs w:val="20"/>
        </w:rPr>
        <w:t xml:space="preserve"> before returning to their previous duties on a full-time basis. The employee has a </w:t>
      </w:r>
      <w:r w:rsidR="000452DF" w:rsidRPr="00A5500D">
        <w:rPr>
          <w:i/>
          <w:iCs/>
          <w:sz w:val="20"/>
          <w:szCs w:val="20"/>
        </w:rPr>
        <w:t>dependant</w:t>
      </w:r>
      <w:r w:rsidRPr="00A5500D">
        <w:rPr>
          <w:i/>
          <w:iCs/>
          <w:sz w:val="20"/>
          <w:szCs w:val="20"/>
        </w:rPr>
        <w:t xml:space="preserve"> spouse and two children aged</w:t>
      </w:r>
      <w:r w:rsidR="0056152E">
        <w:rPr>
          <w:i/>
          <w:iCs/>
          <w:sz w:val="20"/>
          <w:szCs w:val="20"/>
        </w:rPr>
        <w:t> </w:t>
      </w:r>
      <w:r w:rsidR="00CE3495">
        <w:rPr>
          <w:i/>
          <w:iCs/>
          <w:sz w:val="20"/>
          <w:szCs w:val="20"/>
        </w:rPr>
        <w:t>seven</w:t>
      </w:r>
      <w:r w:rsidR="0056152E">
        <w:rPr>
          <w:i/>
          <w:iCs/>
          <w:sz w:val="20"/>
          <w:szCs w:val="20"/>
        </w:rPr>
        <w:t> </w:t>
      </w:r>
      <w:r w:rsidRPr="00A5500D">
        <w:rPr>
          <w:i/>
          <w:iCs/>
          <w:sz w:val="20"/>
          <w:szCs w:val="20"/>
        </w:rPr>
        <w:t xml:space="preserve">and </w:t>
      </w:r>
      <w:r w:rsidR="00CE3495">
        <w:rPr>
          <w:i/>
          <w:iCs/>
          <w:sz w:val="20"/>
          <w:szCs w:val="20"/>
        </w:rPr>
        <w:t>eight</w:t>
      </w:r>
      <w:r w:rsidRPr="00A5500D">
        <w:rPr>
          <w:i/>
          <w:iCs/>
          <w:sz w:val="20"/>
          <w:szCs w:val="20"/>
        </w:rPr>
        <w:t xml:space="preserve">. The employee </w:t>
      </w:r>
      <w:r w:rsidRPr="00877C83">
        <w:rPr>
          <w:i/>
          <w:iCs/>
          <w:sz w:val="20"/>
          <w:szCs w:val="20"/>
        </w:rPr>
        <w:t>injured their back and has lower back strain as a result.</w:t>
      </w:r>
    </w:p>
    <w:p w14:paraId="693C557A" w14:textId="4C4E4419" w:rsidR="002925A3" w:rsidRPr="00877C83" w:rsidRDefault="008D2D27" w:rsidP="00C811CD">
      <w:pPr>
        <w:pStyle w:val="BodyJustified"/>
      </w:pPr>
      <w:bookmarkStart w:id="10" w:name="_Ref466980335"/>
      <w:r w:rsidRPr="00877C83">
        <w:t xml:space="preserve">Indicator </w:t>
      </w:r>
      <w:r w:rsidR="00A15DFB" w:rsidRPr="00877C83">
        <w:rPr>
          <w:noProof/>
        </w:rPr>
        <w:t>15</w:t>
      </w:r>
      <w:r w:rsidR="00A15DFB" w:rsidRPr="00877C83">
        <w:t xml:space="preserve"> </w:t>
      </w:r>
      <w:r w:rsidRPr="00877C83">
        <w:t>shows that</w:t>
      </w:r>
      <w:r w:rsidR="002925A3" w:rsidRPr="00877C83">
        <w:t>:</w:t>
      </w:r>
    </w:p>
    <w:p w14:paraId="0493D760" w14:textId="794D3D8E" w:rsidR="00C45A93" w:rsidRPr="00877C83" w:rsidRDefault="00C45A93" w:rsidP="00C45A93">
      <w:pPr>
        <w:pStyle w:val="BodyJustified"/>
        <w:numPr>
          <w:ilvl w:val="0"/>
          <w:numId w:val="27"/>
        </w:numPr>
      </w:pPr>
      <w:r w:rsidRPr="00877C83">
        <w:t>For low income earners, seven Australian jurisdictions provide full income protection for the first 26</w:t>
      </w:r>
      <w:r w:rsidR="005F18E1">
        <w:t> </w:t>
      </w:r>
      <w:r w:rsidRPr="00877C83">
        <w:t>weeks.</w:t>
      </w:r>
      <w:r w:rsidR="000616F6">
        <w:t xml:space="preserve"> </w:t>
      </w:r>
      <w:r w:rsidRPr="00877C83">
        <w:t xml:space="preserve">For </w:t>
      </w:r>
      <w:proofErr w:type="gramStart"/>
      <w:r w:rsidRPr="00877C83">
        <w:t>middle and high income</w:t>
      </w:r>
      <w:proofErr w:type="gramEnd"/>
      <w:r w:rsidRPr="00877C83">
        <w:t xml:space="preserve"> earners, this </w:t>
      </w:r>
      <w:r w:rsidR="00D54513">
        <w:t>reduces</w:t>
      </w:r>
      <w:r w:rsidR="00D54513" w:rsidRPr="00877C83">
        <w:t xml:space="preserve"> </w:t>
      </w:r>
      <w:r w:rsidRPr="00877C83">
        <w:t>to five jurisdictions</w:t>
      </w:r>
      <w:r w:rsidR="00D54513">
        <w:t xml:space="preserve"> that</w:t>
      </w:r>
      <w:r w:rsidRPr="00877C83">
        <w:t xml:space="preserve"> provide full income protection for this period of incapacity.</w:t>
      </w:r>
    </w:p>
    <w:p w14:paraId="255DCFBF" w14:textId="079492EF" w:rsidR="0067474C" w:rsidRPr="00877C83" w:rsidRDefault="00877C83" w:rsidP="00E378F8">
      <w:pPr>
        <w:pStyle w:val="BodyJustified"/>
        <w:numPr>
          <w:ilvl w:val="0"/>
          <w:numId w:val="27"/>
        </w:numPr>
      </w:pPr>
      <w:r w:rsidRPr="00877C83">
        <w:t xml:space="preserve">For low income earners with 130 weeks of impairment, </w:t>
      </w:r>
      <w:r w:rsidR="00C45A93" w:rsidRPr="00877C83">
        <w:t>Western Australia provides full coverage (100%) of pre</w:t>
      </w:r>
      <w:r w:rsidR="00C45A93" w:rsidRPr="00877C83">
        <w:noBreakHyphen/>
        <w:t xml:space="preserve">injury earnings. </w:t>
      </w:r>
      <w:r w:rsidR="0067474C" w:rsidRPr="00877C83">
        <w:t xml:space="preserve">This was followed by </w:t>
      </w:r>
      <w:r w:rsidR="001B06E9" w:rsidRPr="00877C83">
        <w:t xml:space="preserve">Queensland </w:t>
      </w:r>
      <w:r w:rsidR="0067474C" w:rsidRPr="00877C83">
        <w:t>(</w:t>
      </w:r>
      <w:r w:rsidR="008D2D27" w:rsidRPr="00877C83">
        <w:t>9</w:t>
      </w:r>
      <w:r w:rsidR="00C45A93" w:rsidRPr="00877C83">
        <w:t>7</w:t>
      </w:r>
      <w:r w:rsidR="000B150E" w:rsidRPr="00877C83">
        <w:t>%</w:t>
      </w:r>
      <w:r w:rsidR="0067474C" w:rsidRPr="00877C83">
        <w:t>) and the</w:t>
      </w:r>
      <w:r w:rsidR="001B06E9" w:rsidRPr="00877C83">
        <w:t xml:space="preserve"> Northern Territory (92</w:t>
      </w:r>
      <w:r w:rsidR="000B150E" w:rsidRPr="00877C83">
        <w:t>%</w:t>
      </w:r>
      <w:r w:rsidR="001B06E9" w:rsidRPr="00877C83">
        <w:t>).</w:t>
      </w:r>
      <w:r w:rsidR="008D2D27" w:rsidRPr="00877C83">
        <w:t xml:space="preserve"> </w:t>
      </w:r>
    </w:p>
    <w:p w14:paraId="0BDCE86D" w14:textId="3D12C6F4" w:rsidR="0067474C" w:rsidRPr="00877C83" w:rsidRDefault="0067474C" w:rsidP="00E378F8">
      <w:pPr>
        <w:pStyle w:val="BodyJustified"/>
        <w:numPr>
          <w:ilvl w:val="0"/>
          <w:numId w:val="27"/>
        </w:numPr>
      </w:pPr>
      <w:r w:rsidRPr="00877C83">
        <w:rPr>
          <w:rFonts w:eastAsia="Times New Roman" w:cs="Times New Roman"/>
          <w:szCs w:val="20"/>
        </w:rPr>
        <w:t xml:space="preserve">For </w:t>
      </w:r>
      <w:proofErr w:type="gramStart"/>
      <w:r w:rsidRPr="00877C83">
        <w:rPr>
          <w:rFonts w:eastAsia="Times New Roman" w:cs="Times New Roman"/>
          <w:szCs w:val="20"/>
        </w:rPr>
        <w:t xml:space="preserve">middle </w:t>
      </w:r>
      <w:r w:rsidR="00877C83" w:rsidRPr="00877C83">
        <w:rPr>
          <w:rFonts w:eastAsia="Times New Roman" w:cs="Times New Roman"/>
          <w:szCs w:val="20"/>
        </w:rPr>
        <w:t xml:space="preserve">and high </w:t>
      </w:r>
      <w:r w:rsidRPr="00877C83">
        <w:rPr>
          <w:rFonts w:eastAsia="Times New Roman" w:cs="Times New Roman"/>
          <w:szCs w:val="20"/>
        </w:rPr>
        <w:t>income</w:t>
      </w:r>
      <w:proofErr w:type="gramEnd"/>
      <w:r w:rsidRPr="00877C83">
        <w:rPr>
          <w:rFonts w:eastAsia="Times New Roman" w:cs="Times New Roman"/>
          <w:szCs w:val="20"/>
        </w:rPr>
        <w:t xml:space="preserve"> earners with 130 weeks of impairment, Tasmania and South Australia provide</w:t>
      </w:r>
      <w:r w:rsidR="00877C83" w:rsidRPr="00877C83">
        <w:rPr>
          <w:rFonts w:eastAsia="Times New Roman" w:cs="Times New Roman"/>
          <w:szCs w:val="20"/>
        </w:rPr>
        <w:t>s</w:t>
      </w:r>
      <w:r w:rsidRPr="00877C83">
        <w:rPr>
          <w:rFonts w:eastAsia="Times New Roman" w:cs="Times New Roman"/>
          <w:szCs w:val="20"/>
        </w:rPr>
        <w:t xml:space="preserve"> the highest</w:t>
      </w:r>
      <w:r w:rsidRPr="00877C83">
        <w:t xml:space="preserve"> percentage of pre-injury earnings (both 88%), followed by Western Australia (87%)</w:t>
      </w:r>
      <w:r w:rsidR="00877C83" w:rsidRPr="00877C83">
        <w:t xml:space="preserve"> and Comcare (84%)</w:t>
      </w:r>
      <w:r w:rsidRPr="00877C83">
        <w:t xml:space="preserve">. </w:t>
      </w:r>
    </w:p>
    <w:p w14:paraId="3F625560" w14:textId="30580EFE" w:rsidR="008D2D27" w:rsidRPr="00877C83" w:rsidRDefault="008D2D27" w:rsidP="00E378F8">
      <w:pPr>
        <w:pStyle w:val="BodyJustified"/>
        <w:numPr>
          <w:ilvl w:val="0"/>
          <w:numId w:val="27"/>
        </w:numPr>
      </w:pPr>
      <w:r w:rsidRPr="00877C83">
        <w:t xml:space="preserve">The Australian Capital Territory provided the lowest percentage of pre-injury earnings </w:t>
      </w:r>
      <w:r w:rsidR="0067474C" w:rsidRPr="00877C83">
        <w:t xml:space="preserve">in all three example income earners at </w:t>
      </w:r>
      <w:r w:rsidRPr="00877C83">
        <w:t>1</w:t>
      </w:r>
      <w:r w:rsidR="00E02D24" w:rsidRPr="00877C83">
        <w:t>30</w:t>
      </w:r>
      <w:r w:rsidRPr="00877C83">
        <w:t xml:space="preserve"> weeks of impairment (</w:t>
      </w:r>
      <w:r w:rsidR="001B06E9" w:rsidRPr="00877C83">
        <w:t>72</w:t>
      </w:r>
      <w:r w:rsidR="000B150E" w:rsidRPr="00877C83">
        <w:t>%</w:t>
      </w:r>
      <w:r w:rsidRPr="00877C83">
        <w:t>) due in part to the step-down</w:t>
      </w:r>
      <w:r w:rsidR="005C2223" w:rsidRPr="00877C83">
        <w:rPr>
          <w:rStyle w:val="FootnoteReference"/>
        </w:rPr>
        <w:footnoteReference w:id="2"/>
      </w:r>
      <w:r w:rsidRPr="00877C83">
        <w:t xml:space="preserve"> in benefits to 65</w:t>
      </w:r>
      <w:r w:rsidR="000B150E" w:rsidRPr="00877C83">
        <w:t>%</w:t>
      </w:r>
      <w:r w:rsidRPr="00877C83">
        <w:t xml:space="preserve"> of pre-injury earnings after 26 weeks of compensation.</w:t>
      </w:r>
    </w:p>
    <w:p w14:paraId="5A064B97" w14:textId="77777777" w:rsidR="0002740D" w:rsidRDefault="0002740D">
      <w:pPr>
        <w:spacing w:before="0" w:after="200" w:line="276" w:lineRule="auto"/>
        <w:jc w:val="left"/>
        <w:rPr>
          <w:rFonts w:eastAsiaTheme="minorHAnsi" w:cs="Arial"/>
          <w:b/>
          <w:bCs/>
          <w:color w:val="145B85"/>
          <w:szCs w:val="20"/>
          <w:lang w:val="en-GB" w:eastAsia="en-US"/>
        </w:rPr>
      </w:pPr>
      <w:r>
        <w:br w:type="page"/>
      </w:r>
    </w:p>
    <w:p w14:paraId="25EF2C3C" w14:textId="7E0CF77E" w:rsidR="006D31F5" w:rsidRPr="0002740D" w:rsidRDefault="006D31F5" w:rsidP="0002740D">
      <w:pPr>
        <w:pStyle w:val="SWASectionnum3"/>
        <w:numPr>
          <w:ilvl w:val="0"/>
          <w:numId w:val="0"/>
        </w:numPr>
        <w:spacing w:before="0" w:after="120"/>
        <w:rPr>
          <w:sz w:val="20"/>
          <w:szCs w:val="20"/>
        </w:rPr>
      </w:pPr>
      <w:bookmarkStart w:id="11" w:name="_Toc86056325"/>
      <w:r w:rsidRPr="0002740D">
        <w:rPr>
          <w:sz w:val="20"/>
          <w:szCs w:val="20"/>
        </w:rPr>
        <w:lastRenderedPageBreak/>
        <w:t>Indicator 1</w:t>
      </w:r>
      <w:bookmarkEnd w:id="10"/>
      <w:r w:rsidR="00535035" w:rsidRPr="0002740D">
        <w:rPr>
          <w:sz w:val="20"/>
          <w:szCs w:val="20"/>
        </w:rPr>
        <w:t>5</w:t>
      </w:r>
      <w:r w:rsidRPr="0002740D">
        <w:rPr>
          <w:sz w:val="20"/>
          <w:szCs w:val="20"/>
        </w:rPr>
        <w:t xml:space="preserve"> – Average percentage of pre-injury earnings for selected periods of incapacity, as </w:t>
      </w:r>
      <w:r w:rsidR="000B487E" w:rsidRPr="0002740D">
        <w:rPr>
          <w:sz w:val="20"/>
          <w:szCs w:val="20"/>
        </w:rPr>
        <w:t>of</w:t>
      </w:r>
      <w:r w:rsidRPr="0002740D">
        <w:rPr>
          <w:sz w:val="20"/>
          <w:szCs w:val="20"/>
        </w:rPr>
        <w:t xml:space="preserve"> 1 January 20</w:t>
      </w:r>
      <w:r w:rsidR="00FB746B" w:rsidRPr="0002740D">
        <w:rPr>
          <w:sz w:val="20"/>
          <w:szCs w:val="20"/>
        </w:rPr>
        <w:t>20</w:t>
      </w:r>
      <w:bookmarkEnd w:id="11"/>
      <w:r w:rsidR="00E43544" w:rsidRPr="0002740D">
        <w:rPr>
          <w:sz w:val="20"/>
          <w:szCs w:val="20"/>
        </w:rPr>
        <w:t xml:space="preserve"> </w:t>
      </w:r>
    </w:p>
    <w:tbl>
      <w:tblPr>
        <w:tblW w:w="9658" w:type="dxa"/>
        <w:tblLayout w:type="fixed"/>
        <w:tblLook w:val="04A0" w:firstRow="1" w:lastRow="0" w:firstColumn="1" w:lastColumn="0" w:noHBand="0" w:noVBand="1"/>
        <w:tblCaption w:val="Indicator 15 - Average percentage of pre-injury earnings for selected periods of incapacity, as at 1 january 2020"/>
        <w:tblDescription w:val="This table shows the average percentage of pre-injury earnings for selected periods of incapacity (Up to 13 weeks of incapacity, from 13 to 26 weeks of incapacity, from 26 to 52 weeks of incapacity, and from 52 to 130 weeks of incapacity), at each income level for each of the Australian jurisdictions and New Zealand as at 1st January 2020."/>
      </w:tblPr>
      <w:tblGrid>
        <w:gridCol w:w="1569"/>
        <w:gridCol w:w="808"/>
        <w:gridCol w:w="809"/>
        <w:gridCol w:w="809"/>
        <w:gridCol w:w="809"/>
        <w:gridCol w:w="809"/>
        <w:gridCol w:w="809"/>
        <w:gridCol w:w="809"/>
        <w:gridCol w:w="702"/>
        <w:gridCol w:w="993"/>
        <w:gridCol w:w="732"/>
      </w:tblGrid>
      <w:tr w:rsidR="00FB746B" w:rsidRPr="00FB746B" w14:paraId="23A53B41" w14:textId="77777777" w:rsidTr="0019584A">
        <w:trPr>
          <w:trHeight w:val="307"/>
        </w:trPr>
        <w:tc>
          <w:tcPr>
            <w:tcW w:w="1569" w:type="dxa"/>
            <w:tcBorders>
              <w:top w:val="dotted" w:sz="4" w:space="0" w:color="FFFFFF"/>
              <w:left w:val="dotted" w:sz="4" w:space="0" w:color="FFFFFF"/>
              <w:bottom w:val="dashed" w:sz="8" w:space="0" w:color="FFFFFF"/>
              <w:right w:val="dotted" w:sz="4" w:space="0" w:color="FFFFFF"/>
            </w:tcBorders>
            <w:shd w:val="clear" w:color="000000" w:fill="AF1E2D"/>
            <w:noWrap/>
            <w:vAlign w:val="center"/>
            <w:hideMark/>
          </w:tcPr>
          <w:p w14:paraId="2448DAED" w14:textId="77777777" w:rsidR="00FB746B" w:rsidRPr="00FB746B" w:rsidRDefault="00FB746B" w:rsidP="00FB746B">
            <w:pPr>
              <w:spacing w:before="0"/>
              <w:jc w:val="left"/>
              <w:rPr>
                <w:rFonts w:cs="Arial"/>
                <w:b/>
                <w:bCs/>
                <w:color w:val="FFFFFF"/>
                <w:sz w:val="18"/>
                <w:szCs w:val="18"/>
              </w:rPr>
            </w:pPr>
            <w:r w:rsidRPr="00FB746B">
              <w:rPr>
                <w:rFonts w:cs="Arial"/>
                <w:b/>
                <w:bCs/>
                <w:color w:val="FFFFFF" w:themeColor="background1"/>
                <w:sz w:val="18"/>
                <w:szCs w:val="16"/>
              </w:rPr>
              <w:t>Level of pre-injury income</w:t>
            </w:r>
          </w:p>
        </w:tc>
        <w:tc>
          <w:tcPr>
            <w:tcW w:w="808" w:type="dxa"/>
            <w:tcBorders>
              <w:top w:val="dotted" w:sz="4" w:space="0" w:color="FFFFFF"/>
              <w:left w:val="nil"/>
              <w:bottom w:val="dashed" w:sz="8" w:space="0" w:color="FFFFFF"/>
              <w:right w:val="dotted" w:sz="4" w:space="0" w:color="FFFFFF"/>
            </w:tcBorders>
            <w:shd w:val="clear" w:color="000000" w:fill="AF1E2D"/>
            <w:noWrap/>
            <w:vAlign w:val="center"/>
            <w:hideMark/>
          </w:tcPr>
          <w:p w14:paraId="1A037869"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NSW</w:t>
            </w:r>
          </w:p>
        </w:tc>
        <w:tc>
          <w:tcPr>
            <w:tcW w:w="809" w:type="dxa"/>
            <w:tcBorders>
              <w:top w:val="dotted" w:sz="4" w:space="0" w:color="FFFFFF"/>
              <w:left w:val="nil"/>
              <w:bottom w:val="dashed" w:sz="8" w:space="0" w:color="FFFFFF"/>
              <w:right w:val="dotted" w:sz="4" w:space="0" w:color="FFFFFF"/>
            </w:tcBorders>
            <w:shd w:val="clear" w:color="000000" w:fill="AF1E2D"/>
            <w:noWrap/>
            <w:vAlign w:val="center"/>
            <w:hideMark/>
          </w:tcPr>
          <w:p w14:paraId="122F2479"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Vic</w:t>
            </w:r>
          </w:p>
        </w:tc>
        <w:tc>
          <w:tcPr>
            <w:tcW w:w="809" w:type="dxa"/>
            <w:tcBorders>
              <w:top w:val="dotted" w:sz="4" w:space="0" w:color="FFFFFF"/>
              <w:left w:val="nil"/>
              <w:bottom w:val="dashed" w:sz="8" w:space="0" w:color="FFFFFF"/>
              <w:right w:val="dotted" w:sz="4" w:space="0" w:color="FFFFFF"/>
            </w:tcBorders>
            <w:shd w:val="clear" w:color="000000" w:fill="AF1E2D"/>
            <w:noWrap/>
            <w:vAlign w:val="center"/>
            <w:hideMark/>
          </w:tcPr>
          <w:p w14:paraId="3596DEA5" w14:textId="046CF520"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Qld</w:t>
            </w:r>
          </w:p>
        </w:tc>
        <w:tc>
          <w:tcPr>
            <w:tcW w:w="809" w:type="dxa"/>
            <w:tcBorders>
              <w:top w:val="dotted" w:sz="4" w:space="0" w:color="FFFFFF"/>
              <w:left w:val="nil"/>
              <w:bottom w:val="dashed" w:sz="8" w:space="0" w:color="FFFFFF"/>
              <w:right w:val="dotted" w:sz="4" w:space="0" w:color="FFFFFF"/>
            </w:tcBorders>
            <w:shd w:val="clear" w:color="000000" w:fill="AF1E2D"/>
            <w:noWrap/>
            <w:vAlign w:val="center"/>
            <w:hideMark/>
          </w:tcPr>
          <w:p w14:paraId="77E82B9E"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WA</w:t>
            </w:r>
          </w:p>
        </w:tc>
        <w:tc>
          <w:tcPr>
            <w:tcW w:w="809" w:type="dxa"/>
            <w:tcBorders>
              <w:top w:val="dotted" w:sz="4" w:space="0" w:color="FFFFFF"/>
              <w:left w:val="nil"/>
              <w:bottom w:val="dashed" w:sz="8" w:space="0" w:color="FFFFFF"/>
              <w:right w:val="dotted" w:sz="4" w:space="0" w:color="FFFFFF"/>
            </w:tcBorders>
            <w:shd w:val="clear" w:color="000000" w:fill="AF1E2D"/>
            <w:noWrap/>
            <w:vAlign w:val="center"/>
            <w:hideMark/>
          </w:tcPr>
          <w:p w14:paraId="20DE37C6"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SA</w:t>
            </w:r>
          </w:p>
        </w:tc>
        <w:tc>
          <w:tcPr>
            <w:tcW w:w="809" w:type="dxa"/>
            <w:tcBorders>
              <w:top w:val="dotted" w:sz="4" w:space="0" w:color="FFFFFF"/>
              <w:left w:val="nil"/>
              <w:bottom w:val="dashed" w:sz="8" w:space="0" w:color="FFFFFF"/>
              <w:right w:val="dotted" w:sz="4" w:space="0" w:color="FFFFFF"/>
            </w:tcBorders>
            <w:shd w:val="clear" w:color="000000" w:fill="AF1E2D"/>
            <w:noWrap/>
            <w:vAlign w:val="center"/>
            <w:hideMark/>
          </w:tcPr>
          <w:p w14:paraId="080E65A6"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Tas</w:t>
            </w:r>
          </w:p>
        </w:tc>
        <w:tc>
          <w:tcPr>
            <w:tcW w:w="809" w:type="dxa"/>
            <w:tcBorders>
              <w:top w:val="dotted" w:sz="4" w:space="0" w:color="FFFFFF"/>
              <w:left w:val="nil"/>
              <w:bottom w:val="dashed" w:sz="8" w:space="0" w:color="FFFFFF"/>
              <w:right w:val="dotted" w:sz="4" w:space="0" w:color="FFFFFF"/>
            </w:tcBorders>
            <w:shd w:val="clear" w:color="000000" w:fill="AF1E2D"/>
            <w:noWrap/>
            <w:vAlign w:val="center"/>
            <w:hideMark/>
          </w:tcPr>
          <w:p w14:paraId="2B5E460E"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NT</w:t>
            </w:r>
          </w:p>
        </w:tc>
        <w:tc>
          <w:tcPr>
            <w:tcW w:w="702" w:type="dxa"/>
            <w:tcBorders>
              <w:top w:val="dotted" w:sz="4" w:space="0" w:color="FFFFFF"/>
              <w:left w:val="nil"/>
              <w:bottom w:val="dashed" w:sz="8" w:space="0" w:color="FFFFFF"/>
              <w:right w:val="dotted" w:sz="4" w:space="0" w:color="FFFFFF"/>
            </w:tcBorders>
            <w:shd w:val="clear" w:color="000000" w:fill="AF1E2D"/>
            <w:noWrap/>
            <w:vAlign w:val="center"/>
            <w:hideMark/>
          </w:tcPr>
          <w:p w14:paraId="5AB25C21" w14:textId="77777777" w:rsidR="00FB746B" w:rsidRPr="00F23A14" w:rsidRDefault="00FB746B" w:rsidP="00FB746B">
            <w:pPr>
              <w:spacing w:before="0"/>
              <w:jc w:val="center"/>
              <w:rPr>
                <w:rFonts w:cs="Arial"/>
                <w:b/>
                <w:bCs/>
                <w:color w:val="FFFFFF"/>
                <w:sz w:val="18"/>
                <w:szCs w:val="18"/>
              </w:rPr>
            </w:pPr>
            <w:r w:rsidRPr="00F23A14">
              <w:rPr>
                <w:rFonts w:cs="Arial"/>
                <w:b/>
                <w:bCs/>
                <w:color w:val="FFFFFF" w:themeColor="background1"/>
                <w:sz w:val="18"/>
                <w:szCs w:val="16"/>
              </w:rPr>
              <w:t>ACT</w:t>
            </w:r>
          </w:p>
        </w:tc>
        <w:tc>
          <w:tcPr>
            <w:tcW w:w="993" w:type="dxa"/>
            <w:tcBorders>
              <w:top w:val="dotted" w:sz="4" w:space="0" w:color="FFFFFF"/>
              <w:left w:val="nil"/>
              <w:bottom w:val="dashed" w:sz="8" w:space="0" w:color="FFFFFF"/>
              <w:right w:val="dotted" w:sz="4" w:space="0" w:color="FFFFFF"/>
            </w:tcBorders>
            <w:shd w:val="clear" w:color="000000" w:fill="AF1E2D"/>
            <w:noWrap/>
            <w:vAlign w:val="center"/>
            <w:hideMark/>
          </w:tcPr>
          <w:p w14:paraId="07853E0D"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Comcare</w:t>
            </w:r>
          </w:p>
        </w:tc>
        <w:tc>
          <w:tcPr>
            <w:tcW w:w="732" w:type="dxa"/>
            <w:tcBorders>
              <w:top w:val="dotted" w:sz="4" w:space="0" w:color="FFFFFF"/>
              <w:left w:val="nil"/>
              <w:bottom w:val="dashed" w:sz="8" w:space="0" w:color="FFFFFF"/>
              <w:right w:val="dotted" w:sz="4" w:space="0" w:color="FFFFFF"/>
            </w:tcBorders>
            <w:shd w:val="clear" w:color="000000" w:fill="AF1E2D"/>
            <w:noWrap/>
            <w:vAlign w:val="center"/>
            <w:hideMark/>
          </w:tcPr>
          <w:p w14:paraId="1DAA26F5" w14:textId="77777777" w:rsidR="00FB746B" w:rsidRPr="00FB746B" w:rsidRDefault="00FB746B" w:rsidP="00FB746B">
            <w:pPr>
              <w:spacing w:before="0"/>
              <w:jc w:val="center"/>
              <w:rPr>
                <w:rFonts w:cs="Arial"/>
                <w:b/>
                <w:bCs/>
                <w:color w:val="FFFFFF"/>
                <w:sz w:val="18"/>
                <w:szCs w:val="18"/>
              </w:rPr>
            </w:pPr>
            <w:r w:rsidRPr="00FB746B">
              <w:rPr>
                <w:rFonts w:cs="Arial"/>
                <w:b/>
                <w:bCs/>
                <w:color w:val="FFFFFF" w:themeColor="background1"/>
                <w:sz w:val="18"/>
                <w:szCs w:val="16"/>
              </w:rPr>
              <w:t>NZ</w:t>
            </w:r>
          </w:p>
        </w:tc>
      </w:tr>
      <w:tr w:rsidR="00FB746B" w:rsidRPr="00FB746B" w14:paraId="666BD278" w14:textId="77777777" w:rsidTr="002A2B93">
        <w:trPr>
          <w:trHeight w:hRule="exact" w:val="307"/>
        </w:trPr>
        <w:tc>
          <w:tcPr>
            <w:tcW w:w="9658" w:type="dxa"/>
            <w:gridSpan w:val="11"/>
            <w:tcBorders>
              <w:top w:val="nil"/>
              <w:left w:val="dashed" w:sz="8" w:space="0" w:color="FFFFFF"/>
              <w:bottom w:val="dashed" w:sz="8" w:space="0" w:color="FFFFFF"/>
              <w:right w:val="dashed" w:sz="8" w:space="0" w:color="FFFFFF"/>
            </w:tcBorders>
            <w:shd w:val="clear" w:color="000000" w:fill="808080"/>
            <w:noWrap/>
            <w:vAlign w:val="center"/>
            <w:hideMark/>
          </w:tcPr>
          <w:p w14:paraId="727E45B2" w14:textId="77777777" w:rsidR="00FB746B" w:rsidRPr="00FB746B" w:rsidRDefault="00FB746B" w:rsidP="00FB746B">
            <w:pPr>
              <w:spacing w:before="0"/>
              <w:jc w:val="left"/>
              <w:rPr>
                <w:rFonts w:cs="Arial"/>
                <w:b/>
                <w:bCs/>
                <w:color w:val="FFFFFF"/>
                <w:sz w:val="18"/>
                <w:szCs w:val="18"/>
              </w:rPr>
            </w:pPr>
            <w:r w:rsidRPr="00FB746B">
              <w:rPr>
                <w:rFonts w:cs="Arial"/>
                <w:b/>
                <w:bCs/>
                <w:color w:val="FFFFFF" w:themeColor="background1"/>
                <w:sz w:val="18"/>
                <w:szCs w:val="16"/>
              </w:rPr>
              <w:t>13 weeks of incapacity</w:t>
            </w:r>
          </w:p>
          <w:p w14:paraId="6CD2001B" w14:textId="4F5B093D"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1A01FBDC" w14:textId="5927F43F"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20B72392" w14:textId="2CDC49A5"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6C624AC4" w14:textId="11DB2F6D"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0741E4FC" w14:textId="05FA3F7D"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767B97D3" w14:textId="7E7C7282"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0B9C0F32" w14:textId="7CFFA576"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5B36FEF4" w14:textId="67DFB127"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0E80FB33" w14:textId="05319BE9"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p w14:paraId="11F7B1C7" w14:textId="5C7BA54A" w:rsidR="00FB746B" w:rsidRPr="00FB746B" w:rsidRDefault="00FB746B" w:rsidP="00FB746B">
            <w:pPr>
              <w:spacing w:before="0"/>
              <w:jc w:val="right"/>
              <w:rPr>
                <w:rFonts w:cs="Arial"/>
                <w:b/>
                <w:bCs/>
                <w:color w:val="FFFFFF"/>
                <w:sz w:val="18"/>
                <w:szCs w:val="18"/>
              </w:rPr>
            </w:pPr>
            <w:r w:rsidRPr="00FB746B">
              <w:rPr>
                <w:rFonts w:cs="Arial"/>
                <w:b/>
                <w:bCs/>
                <w:color w:val="FFFFFF" w:themeColor="background1"/>
                <w:sz w:val="18"/>
                <w:szCs w:val="16"/>
              </w:rPr>
              <w:t> </w:t>
            </w:r>
          </w:p>
        </w:tc>
      </w:tr>
      <w:tr w:rsidR="00FB746B" w:rsidRPr="00FB746B" w14:paraId="39E0376F"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517621C1" w14:textId="77777777" w:rsidR="00FB746B" w:rsidRPr="00FB746B" w:rsidRDefault="00FB746B" w:rsidP="00FB746B">
            <w:pPr>
              <w:spacing w:before="0"/>
              <w:jc w:val="left"/>
              <w:rPr>
                <w:rFonts w:cs="Arial"/>
                <w:color w:val="000000"/>
                <w:sz w:val="18"/>
                <w:szCs w:val="18"/>
              </w:rPr>
            </w:pPr>
            <w:r w:rsidRPr="00FB746B">
              <w:rPr>
                <w:rFonts w:cs="Arial"/>
                <w:color w:val="000000"/>
                <w:sz w:val="18"/>
                <w:szCs w:val="18"/>
              </w:rPr>
              <w:t>Low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3BF9D2FD" w14:textId="763E2219" w:rsidR="00FB746B" w:rsidRPr="00FB746B" w:rsidRDefault="00FB746B" w:rsidP="002A2B93">
            <w:pPr>
              <w:spacing w:before="0"/>
              <w:jc w:val="center"/>
              <w:rPr>
                <w:rFonts w:cs="Arial"/>
                <w:color w:val="000000"/>
                <w:sz w:val="18"/>
                <w:szCs w:val="18"/>
              </w:rPr>
            </w:pPr>
            <w:r w:rsidRPr="00FB746B">
              <w:rPr>
                <w:rFonts w:cs="Arial"/>
                <w:color w:val="000000"/>
                <w:sz w:val="18"/>
                <w:szCs w:val="18"/>
              </w:rPr>
              <w:t>95</w:t>
            </w:r>
          </w:p>
        </w:tc>
        <w:tc>
          <w:tcPr>
            <w:tcW w:w="809" w:type="dxa"/>
            <w:tcBorders>
              <w:top w:val="nil"/>
              <w:left w:val="nil"/>
              <w:bottom w:val="dashed" w:sz="8" w:space="0" w:color="FFFFFF"/>
              <w:right w:val="dashed" w:sz="8" w:space="0" w:color="FFFFFF"/>
            </w:tcBorders>
            <w:shd w:val="clear" w:color="000000" w:fill="EFD3D2"/>
            <w:noWrap/>
            <w:vAlign w:val="center"/>
          </w:tcPr>
          <w:p w14:paraId="7A2000A2" w14:textId="6A95C10C" w:rsidR="00FB746B" w:rsidRPr="00FB746B" w:rsidRDefault="00D75EBC" w:rsidP="002A2B93">
            <w:pPr>
              <w:spacing w:before="0"/>
              <w:jc w:val="center"/>
              <w:rPr>
                <w:rFonts w:cs="Arial"/>
                <w:color w:val="000000"/>
                <w:sz w:val="18"/>
                <w:szCs w:val="18"/>
              </w:rPr>
            </w:pPr>
            <w:r>
              <w:rPr>
                <w:rFonts w:cs="Arial"/>
                <w:color w:val="000000"/>
                <w:sz w:val="18"/>
                <w:szCs w:val="18"/>
              </w:rPr>
              <w:t>95</w:t>
            </w:r>
          </w:p>
        </w:tc>
        <w:tc>
          <w:tcPr>
            <w:tcW w:w="809" w:type="dxa"/>
            <w:tcBorders>
              <w:top w:val="nil"/>
              <w:left w:val="nil"/>
              <w:bottom w:val="dashed" w:sz="8" w:space="0" w:color="FFFFFF"/>
              <w:right w:val="dashed" w:sz="8" w:space="0" w:color="FFFFFF"/>
            </w:tcBorders>
            <w:shd w:val="clear" w:color="000000" w:fill="EFD3D2"/>
            <w:noWrap/>
            <w:vAlign w:val="center"/>
            <w:hideMark/>
          </w:tcPr>
          <w:p w14:paraId="38C5470E" w14:textId="48AF049B"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0343B5D6" w14:textId="7D507AF5"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57A38CBC" w14:textId="138A023E"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385AF8C4" w14:textId="3084B41B"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15065A56" w14:textId="6DFE3065"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702" w:type="dxa"/>
            <w:tcBorders>
              <w:top w:val="nil"/>
              <w:left w:val="nil"/>
              <w:bottom w:val="dashed" w:sz="8" w:space="0" w:color="FFFFFF"/>
              <w:right w:val="dashed" w:sz="8" w:space="0" w:color="FFFFFF"/>
            </w:tcBorders>
            <w:shd w:val="clear" w:color="000000" w:fill="EFD3D2"/>
            <w:noWrap/>
            <w:vAlign w:val="center"/>
            <w:hideMark/>
          </w:tcPr>
          <w:p w14:paraId="2FC454A2" w14:textId="4B93828F"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993" w:type="dxa"/>
            <w:tcBorders>
              <w:top w:val="nil"/>
              <w:left w:val="nil"/>
              <w:bottom w:val="dashed" w:sz="8" w:space="0" w:color="FFFFFF"/>
              <w:right w:val="dashed" w:sz="8" w:space="0" w:color="FFFFFF"/>
            </w:tcBorders>
            <w:shd w:val="clear" w:color="000000" w:fill="EFD3D2"/>
            <w:noWrap/>
            <w:vAlign w:val="center"/>
            <w:hideMark/>
          </w:tcPr>
          <w:p w14:paraId="19EF97F5" w14:textId="75048921"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732" w:type="dxa"/>
            <w:tcBorders>
              <w:top w:val="nil"/>
              <w:left w:val="nil"/>
              <w:bottom w:val="dashed" w:sz="8" w:space="0" w:color="FFFFFF"/>
              <w:right w:val="dashed" w:sz="8" w:space="0" w:color="FFFFFF"/>
            </w:tcBorders>
            <w:shd w:val="clear" w:color="000000" w:fill="EFD3D2"/>
            <w:noWrap/>
            <w:vAlign w:val="center"/>
            <w:hideMark/>
          </w:tcPr>
          <w:p w14:paraId="17A541F6" w14:textId="4A0DA761" w:rsidR="00FB746B" w:rsidRPr="00FB746B" w:rsidRDefault="00FB746B" w:rsidP="002A2B93">
            <w:pPr>
              <w:spacing w:before="0"/>
              <w:jc w:val="center"/>
              <w:rPr>
                <w:rFonts w:cs="Arial"/>
                <w:color w:val="000000"/>
                <w:sz w:val="18"/>
                <w:szCs w:val="18"/>
              </w:rPr>
            </w:pPr>
            <w:r w:rsidRPr="00FB746B">
              <w:rPr>
                <w:rFonts w:cs="Arial"/>
                <w:color w:val="000000"/>
                <w:sz w:val="18"/>
                <w:szCs w:val="18"/>
              </w:rPr>
              <w:t>80</w:t>
            </w:r>
          </w:p>
        </w:tc>
      </w:tr>
      <w:tr w:rsidR="00FB746B" w:rsidRPr="00FB746B" w14:paraId="75A13351"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auto" w:fill="auto"/>
            <w:noWrap/>
            <w:vAlign w:val="center"/>
            <w:hideMark/>
          </w:tcPr>
          <w:p w14:paraId="69BB7896" w14:textId="77777777" w:rsidR="00FB746B" w:rsidRPr="00FB746B" w:rsidRDefault="00FB746B" w:rsidP="00FB746B">
            <w:pPr>
              <w:spacing w:before="0"/>
              <w:jc w:val="left"/>
              <w:rPr>
                <w:rFonts w:cs="Arial"/>
                <w:sz w:val="18"/>
                <w:szCs w:val="18"/>
              </w:rPr>
            </w:pPr>
            <w:r w:rsidRPr="00FB746B">
              <w:rPr>
                <w:rFonts w:cs="Arial"/>
                <w:sz w:val="18"/>
                <w:szCs w:val="16"/>
              </w:rPr>
              <w:t>Middle income</w:t>
            </w:r>
          </w:p>
        </w:tc>
        <w:tc>
          <w:tcPr>
            <w:tcW w:w="808" w:type="dxa"/>
            <w:tcBorders>
              <w:top w:val="nil"/>
              <w:left w:val="nil"/>
              <w:bottom w:val="dashed" w:sz="8" w:space="0" w:color="FFFFFF"/>
              <w:right w:val="dashed" w:sz="8" w:space="0" w:color="FFFFFF"/>
            </w:tcBorders>
            <w:shd w:val="clear" w:color="auto" w:fill="auto"/>
            <w:noWrap/>
            <w:vAlign w:val="center"/>
            <w:hideMark/>
          </w:tcPr>
          <w:p w14:paraId="580DF579" w14:textId="08DB1FC4" w:rsidR="00FB746B" w:rsidRPr="00FB746B" w:rsidRDefault="00FB746B" w:rsidP="002A2B93">
            <w:pPr>
              <w:spacing w:before="0"/>
              <w:jc w:val="center"/>
              <w:rPr>
                <w:rFonts w:cs="Arial"/>
                <w:sz w:val="18"/>
                <w:szCs w:val="18"/>
              </w:rPr>
            </w:pPr>
            <w:r w:rsidRPr="00FB746B">
              <w:rPr>
                <w:rFonts w:cs="Arial"/>
                <w:sz w:val="18"/>
                <w:szCs w:val="18"/>
              </w:rPr>
              <w:t>95</w:t>
            </w:r>
          </w:p>
        </w:tc>
        <w:tc>
          <w:tcPr>
            <w:tcW w:w="809" w:type="dxa"/>
            <w:tcBorders>
              <w:top w:val="nil"/>
              <w:left w:val="nil"/>
              <w:bottom w:val="dashed" w:sz="8" w:space="0" w:color="FFFFFF"/>
              <w:right w:val="dashed" w:sz="8" w:space="0" w:color="FFFFFF"/>
            </w:tcBorders>
            <w:shd w:val="clear" w:color="auto" w:fill="auto"/>
            <w:noWrap/>
            <w:vAlign w:val="center"/>
          </w:tcPr>
          <w:p w14:paraId="2A8EFAC6" w14:textId="63EB77AD" w:rsidR="00FB746B" w:rsidRPr="00FB746B" w:rsidRDefault="00D75EBC" w:rsidP="002A2B93">
            <w:pPr>
              <w:spacing w:before="0"/>
              <w:jc w:val="center"/>
              <w:rPr>
                <w:rFonts w:cs="Arial"/>
                <w:sz w:val="18"/>
                <w:szCs w:val="18"/>
              </w:rPr>
            </w:pPr>
            <w:r>
              <w:rPr>
                <w:rFonts w:cs="Arial"/>
                <w:color w:val="000000"/>
                <w:sz w:val="18"/>
                <w:szCs w:val="18"/>
              </w:rPr>
              <w:t>95</w:t>
            </w:r>
          </w:p>
        </w:tc>
        <w:tc>
          <w:tcPr>
            <w:tcW w:w="809" w:type="dxa"/>
            <w:tcBorders>
              <w:top w:val="nil"/>
              <w:left w:val="nil"/>
              <w:bottom w:val="dashed" w:sz="8" w:space="0" w:color="FFFFFF"/>
              <w:right w:val="dashed" w:sz="8" w:space="0" w:color="FFFFFF"/>
            </w:tcBorders>
            <w:shd w:val="clear" w:color="auto" w:fill="auto"/>
            <w:noWrap/>
            <w:vAlign w:val="center"/>
            <w:hideMark/>
          </w:tcPr>
          <w:p w14:paraId="4A375346" w14:textId="595E486A" w:rsidR="00FB746B" w:rsidRPr="00FB746B" w:rsidRDefault="00FB746B" w:rsidP="002A2B93">
            <w:pPr>
              <w:spacing w:before="0"/>
              <w:jc w:val="center"/>
              <w:rPr>
                <w:rFonts w:cs="Arial"/>
                <w:sz w:val="18"/>
                <w:szCs w:val="18"/>
              </w:rPr>
            </w:pPr>
            <w:r w:rsidRPr="00FB746B">
              <w:rPr>
                <w:rFonts w:cs="Arial"/>
                <w:sz w:val="18"/>
                <w:szCs w:val="18"/>
              </w:rPr>
              <w:t>85</w:t>
            </w:r>
          </w:p>
        </w:tc>
        <w:tc>
          <w:tcPr>
            <w:tcW w:w="809" w:type="dxa"/>
            <w:tcBorders>
              <w:top w:val="nil"/>
              <w:left w:val="nil"/>
              <w:bottom w:val="dashed" w:sz="8" w:space="0" w:color="FFFFFF"/>
              <w:right w:val="dashed" w:sz="8" w:space="0" w:color="FFFFFF"/>
            </w:tcBorders>
            <w:shd w:val="clear" w:color="auto" w:fill="auto"/>
            <w:noWrap/>
            <w:vAlign w:val="center"/>
            <w:hideMark/>
          </w:tcPr>
          <w:p w14:paraId="478279FF" w14:textId="110CFCC7" w:rsidR="00FB746B" w:rsidRPr="00FB746B" w:rsidRDefault="00FB746B" w:rsidP="002A2B93">
            <w:pPr>
              <w:spacing w:before="0"/>
              <w:jc w:val="center"/>
              <w:rPr>
                <w:rFonts w:cs="Arial"/>
                <w:sz w:val="18"/>
                <w:szCs w:val="18"/>
              </w:rPr>
            </w:pPr>
            <w:r w:rsidRPr="00FB746B">
              <w:rPr>
                <w:rFonts w:cs="Arial"/>
                <w:sz w:val="18"/>
                <w:szCs w:val="18"/>
              </w:rPr>
              <w:t>100</w:t>
            </w:r>
          </w:p>
        </w:tc>
        <w:tc>
          <w:tcPr>
            <w:tcW w:w="809" w:type="dxa"/>
            <w:tcBorders>
              <w:top w:val="nil"/>
              <w:left w:val="nil"/>
              <w:bottom w:val="dashed" w:sz="8" w:space="0" w:color="FFFFFF"/>
              <w:right w:val="dashed" w:sz="8" w:space="0" w:color="FFFFFF"/>
            </w:tcBorders>
            <w:shd w:val="clear" w:color="auto" w:fill="auto"/>
            <w:noWrap/>
            <w:vAlign w:val="center"/>
            <w:hideMark/>
          </w:tcPr>
          <w:p w14:paraId="738F161B" w14:textId="3A4A11D8" w:rsidR="00FB746B" w:rsidRPr="00FB746B" w:rsidRDefault="00FB746B" w:rsidP="002A2B93">
            <w:pPr>
              <w:spacing w:before="0"/>
              <w:jc w:val="center"/>
              <w:rPr>
                <w:rFonts w:cs="Arial"/>
                <w:sz w:val="18"/>
                <w:szCs w:val="18"/>
              </w:rPr>
            </w:pPr>
            <w:r w:rsidRPr="00FB746B">
              <w:rPr>
                <w:rFonts w:cs="Arial"/>
                <w:sz w:val="18"/>
                <w:szCs w:val="18"/>
              </w:rPr>
              <w:t>100</w:t>
            </w:r>
          </w:p>
        </w:tc>
        <w:tc>
          <w:tcPr>
            <w:tcW w:w="809" w:type="dxa"/>
            <w:tcBorders>
              <w:top w:val="nil"/>
              <w:left w:val="nil"/>
              <w:bottom w:val="dashed" w:sz="8" w:space="0" w:color="FFFFFF"/>
              <w:right w:val="dashed" w:sz="8" w:space="0" w:color="FFFFFF"/>
            </w:tcBorders>
            <w:shd w:val="clear" w:color="auto" w:fill="auto"/>
            <w:noWrap/>
            <w:vAlign w:val="center"/>
            <w:hideMark/>
          </w:tcPr>
          <w:p w14:paraId="53500E48" w14:textId="469B641C" w:rsidR="00FB746B" w:rsidRPr="00FB746B" w:rsidRDefault="00FB746B" w:rsidP="002A2B93">
            <w:pPr>
              <w:spacing w:before="0"/>
              <w:jc w:val="center"/>
              <w:rPr>
                <w:rFonts w:cs="Arial"/>
                <w:sz w:val="18"/>
                <w:szCs w:val="18"/>
              </w:rPr>
            </w:pPr>
            <w:r w:rsidRPr="00FB746B">
              <w:rPr>
                <w:rFonts w:cs="Arial"/>
                <w:sz w:val="18"/>
                <w:szCs w:val="18"/>
              </w:rPr>
              <w:t>100</w:t>
            </w:r>
          </w:p>
        </w:tc>
        <w:tc>
          <w:tcPr>
            <w:tcW w:w="809" w:type="dxa"/>
            <w:tcBorders>
              <w:top w:val="nil"/>
              <w:left w:val="nil"/>
              <w:bottom w:val="dashed" w:sz="8" w:space="0" w:color="FFFFFF"/>
              <w:right w:val="dashed" w:sz="8" w:space="0" w:color="FFFFFF"/>
            </w:tcBorders>
            <w:shd w:val="clear" w:color="auto" w:fill="auto"/>
            <w:noWrap/>
            <w:vAlign w:val="center"/>
            <w:hideMark/>
          </w:tcPr>
          <w:p w14:paraId="4140BF64" w14:textId="525C5B71" w:rsidR="00FB746B" w:rsidRPr="00FB746B" w:rsidRDefault="00FB746B" w:rsidP="002A2B93">
            <w:pPr>
              <w:spacing w:before="0"/>
              <w:jc w:val="center"/>
              <w:rPr>
                <w:rFonts w:cs="Arial"/>
                <w:sz w:val="18"/>
                <w:szCs w:val="18"/>
              </w:rPr>
            </w:pPr>
            <w:r w:rsidRPr="00FB746B">
              <w:rPr>
                <w:rFonts w:cs="Arial"/>
                <w:sz w:val="18"/>
                <w:szCs w:val="18"/>
              </w:rPr>
              <w:t>100</w:t>
            </w:r>
          </w:p>
        </w:tc>
        <w:tc>
          <w:tcPr>
            <w:tcW w:w="702" w:type="dxa"/>
            <w:tcBorders>
              <w:top w:val="nil"/>
              <w:left w:val="nil"/>
              <w:bottom w:val="dashed" w:sz="8" w:space="0" w:color="FFFFFF"/>
              <w:right w:val="dashed" w:sz="8" w:space="0" w:color="FFFFFF"/>
            </w:tcBorders>
            <w:shd w:val="clear" w:color="auto" w:fill="auto"/>
            <w:noWrap/>
            <w:vAlign w:val="center"/>
            <w:hideMark/>
          </w:tcPr>
          <w:p w14:paraId="6BFB33FF" w14:textId="3C2CCCA7" w:rsidR="00FB746B" w:rsidRPr="00FB746B" w:rsidRDefault="00FB746B" w:rsidP="002A2B93">
            <w:pPr>
              <w:spacing w:before="0"/>
              <w:jc w:val="center"/>
              <w:rPr>
                <w:rFonts w:cs="Arial"/>
                <w:sz w:val="18"/>
                <w:szCs w:val="18"/>
              </w:rPr>
            </w:pPr>
            <w:r w:rsidRPr="00FB746B">
              <w:rPr>
                <w:rFonts w:cs="Arial"/>
                <w:sz w:val="18"/>
                <w:szCs w:val="18"/>
              </w:rPr>
              <w:t>100</w:t>
            </w:r>
          </w:p>
        </w:tc>
        <w:tc>
          <w:tcPr>
            <w:tcW w:w="993" w:type="dxa"/>
            <w:tcBorders>
              <w:top w:val="nil"/>
              <w:left w:val="nil"/>
              <w:bottom w:val="dashed" w:sz="8" w:space="0" w:color="FFFFFF"/>
              <w:right w:val="dashed" w:sz="8" w:space="0" w:color="FFFFFF"/>
            </w:tcBorders>
            <w:shd w:val="clear" w:color="auto" w:fill="auto"/>
            <w:noWrap/>
            <w:vAlign w:val="center"/>
            <w:hideMark/>
          </w:tcPr>
          <w:p w14:paraId="1F06A138" w14:textId="1DB3EAE7" w:rsidR="00FB746B" w:rsidRPr="00FB746B" w:rsidRDefault="00FB746B" w:rsidP="002A2B93">
            <w:pPr>
              <w:spacing w:before="0"/>
              <w:jc w:val="center"/>
              <w:rPr>
                <w:rFonts w:cs="Arial"/>
                <w:sz w:val="18"/>
                <w:szCs w:val="18"/>
              </w:rPr>
            </w:pPr>
            <w:r w:rsidRPr="00FB746B">
              <w:rPr>
                <w:rFonts w:cs="Arial"/>
                <w:sz w:val="18"/>
                <w:szCs w:val="18"/>
              </w:rPr>
              <w:t>100</w:t>
            </w:r>
          </w:p>
        </w:tc>
        <w:tc>
          <w:tcPr>
            <w:tcW w:w="732" w:type="dxa"/>
            <w:tcBorders>
              <w:top w:val="nil"/>
              <w:left w:val="nil"/>
              <w:bottom w:val="dashed" w:sz="8" w:space="0" w:color="FFFFFF"/>
              <w:right w:val="dashed" w:sz="8" w:space="0" w:color="FFFFFF"/>
            </w:tcBorders>
            <w:shd w:val="clear" w:color="auto" w:fill="auto"/>
            <w:noWrap/>
            <w:vAlign w:val="center"/>
            <w:hideMark/>
          </w:tcPr>
          <w:p w14:paraId="5C63A441" w14:textId="1A47574B" w:rsidR="00FB746B" w:rsidRPr="00FB746B" w:rsidRDefault="00FB746B" w:rsidP="002A2B93">
            <w:pPr>
              <w:spacing w:before="0"/>
              <w:jc w:val="center"/>
              <w:rPr>
                <w:rFonts w:cs="Arial"/>
                <w:sz w:val="18"/>
                <w:szCs w:val="18"/>
              </w:rPr>
            </w:pPr>
            <w:r w:rsidRPr="00FB746B">
              <w:rPr>
                <w:rFonts w:cs="Arial"/>
                <w:sz w:val="18"/>
                <w:szCs w:val="18"/>
              </w:rPr>
              <w:t>80</w:t>
            </w:r>
          </w:p>
        </w:tc>
      </w:tr>
      <w:tr w:rsidR="00FB746B" w:rsidRPr="00FB746B" w14:paraId="5EC9D9EE"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443AA53C" w14:textId="77777777" w:rsidR="00FB746B" w:rsidRPr="00FB746B" w:rsidRDefault="00FB746B" w:rsidP="00FB746B">
            <w:pPr>
              <w:spacing w:before="0"/>
              <w:jc w:val="left"/>
              <w:rPr>
                <w:rFonts w:cs="Arial"/>
                <w:color w:val="000000"/>
                <w:sz w:val="18"/>
                <w:szCs w:val="18"/>
              </w:rPr>
            </w:pPr>
            <w:r w:rsidRPr="00FB746B">
              <w:rPr>
                <w:rFonts w:cs="Arial"/>
                <w:color w:val="000000"/>
                <w:sz w:val="18"/>
                <w:szCs w:val="18"/>
              </w:rPr>
              <w:t>High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18E1BD8D" w14:textId="72591935" w:rsidR="00FB746B" w:rsidRPr="00FB746B" w:rsidRDefault="00FB746B" w:rsidP="002A2B93">
            <w:pPr>
              <w:spacing w:before="0"/>
              <w:jc w:val="center"/>
              <w:rPr>
                <w:rFonts w:cs="Arial"/>
                <w:color w:val="000000"/>
                <w:sz w:val="18"/>
                <w:szCs w:val="18"/>
              </w:rPr>
            </w:pPr>
            <w:r w:rsidRPr="00FB746B">
              <w:rPr>
                <w:rFonts w:cs="Arial"/>
                <w:color w:val="000000"/>
                <w:sz w:val="18"/>
                <w:szCs w:val="18"/>
              </w:rPr>
              <w:t>91</w:t>
            </w:r>
          </w:p>
        </w:tc>
        <w:tc>
          <w:tcPr>
            <w:tcW w:w="809" w:type="dxa"/>
            <w:tcBorders>
              <w:top w:val="nil"/>
              <w:left w:val="nil"/>
              <w:bottom w:val="dashed" w:sz="8" w:space="0" w:color="FFFFFF"/>
              <w:right w:val="dashed" w:sz="8" w:space="0" w:color="FFFFFF"/>
            </w:tcBorders>
            <w:shd w:val="clear" w:color="000000" w:fill="EFD3D2"/>
            <w:noWrap/>
            <w:vAlign w:val="center"/>
          </w:tcPr>
          <w:p w14:paraId="27317A07" w14:textId="27A51571" w:rsidR="00FB746B" w:rsidRPr="00FB746B" w:rsidRDefault="00D75EBC" w:rsidP="002A2B93">
            <w:pPr>
              <w:spacing w:before="0"/>
              <w:jc w:val="center"/>
              <w:rPr>
                <w:rFonts w:cs="Arial"/>
                <w:color w:val="000000"/>
                <w:sz w:val="18"/>
                <w:szCs w:val="18"/>
              </w:rPr>
            </w:pPr>
            <w:r>
              <w:rPr>
                <w:rFonts w:cs="Arial"/>
                <w:color w:val="000000"/>
                <w:sz w:val="18"/>
                <w:szCs w:val="18"/>
              </w:rPr>
              <w:t>95</w:t>
            </w:r>
          </w:p>
        </w:tc>
        <w:tc>
          <w:tcPr>
            <w:tcW w:w="809" w:type="dxa"/>
            <w:tcBorders>
              <w:top w:val="nil"/>
              <w:left w:val="nil"/>
              <w:bottom w:val="dashed" w:sz="8" w:space="0" w:color="FFFFFF"/>
              <w:right w:val="dashed" w:sz="8" w:space="0" w:color="FFFFFF"/>
            </w:tcBorders>
            <w:shd w:val="clear" w:color="000000" w:fill="EFD3D2"/>
            <w:noWrap/>
            <w:vAlign w:val="center"/>
            <w:hideMark/>
          </w:tcPr>
          <w:p w14:paraId="3023340A" w14:textId="380F1A7D" w:rsidR="00FB746B" w:rsidRPr="00FB746B" w:rsidRDefault="00FB746B" w:rsidP="002A2B93">
            <w:pPr>
              <w:spacing w:before="0"/>
              <w:jc w:val="center"/>
              <w:rPr>
                <w:rFonts w:cs="Arial"/>
                <w:color w:val="000000"/>
                <w:sz w:val="18"/>
                <w:szCs w:val="18"/>
              </w:rPr>
            </w:pPr>
            <w:r w:rsidRPr="00FB746B">
              <w:rPr>
                <w:rFonts w:cs="Arial"/>
                <w:color w:val="000000"/>
                <w:sz w:val="18"/>
                <w:szCs w:val="18"/>
              </w:rPr>
              <w:t>85</w:t>
            </w:r>
          </w:p>
        </w:tc>
        <w:tc>
          <w:tcPr>
            <w:tcW w:w="809" w:type="dxa"/>
            <w:tcBorders>
              <w:top w:val="nil"/>
              <w:left w:val="nil"/>
              <w:bottom w:val="dashed" w:sz="8" w:space="0" w:color="FFFFFF"/>
              <w:right w:val="dashed" w:sz="8" w:space="0" w:color="FFFFFF"/>
            </w:tcBorders>
            <w:shd w:val="clear" w:color="000000" w:fill="EFD3D2"/>
            <w:noWrap/>
            <w:vAlign w:val="center"/>
            <w:hideMark/>
          </w:tcPr>
          <w:p w14:paraId="519020C6" w14:textId="36780F1E"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21462E2A" w14:textId="36E8C658"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1C65B9C2" w14:textId="1B0DECA5"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0593F94F" w14:textId="003C4525"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702" w:type="dxa"/>
            <w:tcBorders>
              <w:top w:val="nil"/>
              <w:left w:val="nil"/>
              <w:bottom w:val="dashed" w:sz="8" w:space="0" w:color="FFFFFF"/>
              <w:right w:val="dashed" w:sz="8" w:space="0" w:color="FFFFFF"/>
            </w:tcBorders>
            <w:shd w:val="clear" w:color="000000" w:fill="EFD3D2"/>
            <w:noWrap/>
            <w:vAlign w:val="center"/>
            <w:hideMark/>
          </w:tcPr>
          <w:p w14:paraId="18CFF729" w14:textId="23354FB2"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993" w:type="dxa"/>
            <w:tcBorders>
              <w:top w:val="nil"/>
              <w:left w:val="nil"/>
              <w:bottom w:val="dashed" w:sz="8" w:space="0" w:color="FFFFFF"/>
              <w:right w:val="dashed" w:sz="8" w:space="0" w:color="FFFFFF"/>
            </w:tcBorders>
            <w:shd w:val="clear" w:color="000000" w:fill="EFD3D2"/>
            <w:noWrap/>
            <w:vAlign w:val="center"/>
            <w:hideMark/>
          </w:tcPr>
          <w:p w14:paraId="7D49A0DB" w14:textId="4F3F1C6F" w:rsidR="00FB746B" w:rsidRPr="00FB746B" w:rsidRDefault="00FB746B" w:rsidP="002A2B93">
            <w:pPr>
              <w:spacing w:before="0"/>
              <w:jc w:val="center"/>
              <w:rPr>
                <w:rFonts w:cs="Arial"/>
                <w:color w:val="000000"/>
                <w:sz w:val="18"/>
                <w:szCs w:val="18"/>
              </w:rPr>
            </w:pPr>
            <w:r w:rsidRPr="00FB746B">
              <w:rPr>
                <w:rFonts w:cs="Arial"/>
                <w:color w:val="000000"/>
                <w:sz w:val="18"/>
                <w:szCs w:val="18"/>
              </w:rPr>
              <w:t>100</w:t>
            </w:r>
          </w:p>
        </w:tc>
        <w:tc>
          <w:tcPr>
            <w:tcW w:w="732" w:type="dxa"/>
            <w:tcBorders>
              <w:top w:val="nil"/>
              <w:left w:val="nil"/>
              <w:bottom w:val="dashed" w:sz="8" w:space="0" w:color="FFFFFF"/>
              <w:right w:val="dashed" w:sz="8" w:space="0" w:color="FFFFFF"/>
            </w:tcBorders>
            <w:shd w:val="clear" w:color="000000" w:fill="EFD3D2"/>
            <w:noWrap/>
            <w:vAlign w:val="center"/>
            <w:hideMark/>
          </w:tcPr>
          <w:p w14:paraId="0CACDDE9" w14:textId="43329C1A" w:rsidR="00FB746B" w:rsidRPr="00FB746B" w:rsidRDefault="00FB746B" w:rsidP="002A2B93">
            <w:pPr>
              <w:spacing w:before="0"/>
              <w:jc w:val="center"/>
              <w:rPr>
                <w:rFonts w:cs="Arial"/>
                <w:color w:val="000000"/>
                <w:sz w:val="18"/>
                <w:szCs w:val="18"/>
              </w:rPr>
            </w:pPr>
            <w:r w:rsidRPr="00FB746B">
              <w:rPr>
                <w:rFonts w:cs="Arial"/>
                <w:color w:val="000000"/>
                <w:sz w:val="18"/>
                <w:szCs w:val="18"/>
              </w:rPr>
              <w:t>80</w:t>
            </w:r>
          </w:p>
        </w:tc>
      </w:tr>
      <w:tr w:rsidR="00FB746B" w:rsidRPr="00FB746B" w14:paraId="2607D8B3" w14:textId="77777777" w:rsidTr="002A2B93">
        <w:trPr>
          <w:trHeight w:hRule="exact" w:val="307"/>
        </w:trPr>
        <w:tc>
          <w:tcPr>
            <w:tcW w:w="9658" w:type="dxa"/>
            <w:gridSpan w:val="11"/>
            <w:tcBorders>
              <w:top w:val="nil"/>
              <w:left w:val="dashed" w:sz="8" w:space="0" w:color="FFFFFF"/>
              <w:bottom w:val="dashed" w:sz="8" w:space="0" w:color="FFFFFF"/>
              <w:right w:val="dashed" w:sz="8" w:space="0" w:color="FFFFFF"/>
            </w:tcBorders>
            <w:shd w:val="clear" w:color="000000" w:fill="808080"/>
            <w:noWrap/>
            <w:vAlign w:val="center"/>
            <w:hideMark/>
          </w:tcPr>
          <w:p w14:paraId="2E64057D" w14:textId="77777777" w:rsidR="00FB746B" w:rsidRPr="00FB746B" w:rsidRDefault="00FB746B" w:rsidP="002A2B93">
            <w:pPr>
              <w:spacing w:before="0"/>
              <w:jc w:val="center"/>
              <w:rPr>
                <w:rFonts w:cs="Arial"/>
                <w:b/>
                <w:bCs/>
                <w:color w:val="FFFFFF"/>
                <w:sz w:val="18"/>
                <w:szCs w:val="18"/>
              </w:rPr>
            </w:pPr>
            <w:r w:rsidRPr="00FB746B">
              <w:rPr>
                <w:rFonts w:cs="Arial"/>
                <w:b/>
                <w:bCs/>
                <w:color w:val="FFFFFF" w:themeColor="background1"/>
                <w:sz w:val="18"/>
                <w:szCs w:val="16"/>
              </w:rPr>
              <w:t>26 weeks of incapacity</w:t>
            </w:r>
          </w:p>
          <w:p w14:paraId="4473172B" w14:textId="476C11C0" w:rsidR="00FB746B" w:rsidRPr="00FB746B" w:rsidRDefault="00FB746B" w:rsidP="002A2B93">
            <w:pPr>
              <w:spacing w:before="0"/>
              <w:jc w:val="center"/>
              <w:rPr>
                <w:rFonts w:cs="Arial"/>
                <w:b/>
                <w:bCs/>
                <w:color w:val="FFFFFF"/>
                <w:sz w:val="18"/>
                <w:szCs w:val="18"/>
              </w:rPr>
            </w:pPr>
          </w:p>
          <w:p w14:paraId="3889D65E" w14:textId="17F1C1E1" w:rsidR="00FB746B" w:rsidRPr="00FB746B" w:rsidRDefault="00FB746B" w:rsidP="002A2B93">
            <w:pPr>
              <w:spacing w:before="0"/>
              <w:jc w:val="center"/>
              <w:rPr>
                <w:rFonts w:cs="Arial"/>
                <w:b/>
                <w:bCs/>
                <w:color w:val="FFFFFF"/>
                <w:sz w:val="18"/>
                <w:szCs w:val="18"/>
              </w:rPr>
            </w:pPr>
          </w:p>
          <w:p w14:paraId="0CBB7DE9" w14:textId="30A78106" w:rsidR="00FB746B" w:rsidRPr="00FB746B" w:rsidRDefault="00FB746B" w:rsidP="002A2B93">
            <w:pPr>
              <w:spacing w:before="0"/>
              <w:jc w:val="center"/>
              <w:rPr>
                <w:rFonts w:cs="Arial"/>
                <w:b/>
                <w:bCs/>
                <w:color w:val="FFFFFF"/>
                <w:sz w:val="18"/>
                <w:szCs w:val="18"/>
              </w:rPr>
            </w:pPr>
          </w:p>
          <w:p w14:paraId="4300A465" w14:textId="250D8412" w:rsidR="00FB746B" w:rsidRPr="00FB746B" w:rsidRDefault="00FB746B" w:rsidP="002A2B93">
            <w:pPr>
              <w:spacing w:before="0"/>
              <w:jc w:val="center"/>
              <w:rPr>
                <w:rFonts w:cs="Arial"/>
                <w:b/>
                <w:bCs/>
                <w:color w:val="FFFFFF"/>
                <w:sz w:val="18"/>
                <w:szCs w:val="18"/>
              </w:rPr>
            </w:pPr>
          </w:p>
          <w:p w14:paraId="69156000" w14:textId="1290658F" w:rsidR="00FB746B" w:rsidRPr="00FB746B" w:rsidRDefault="00FB746B" w:rsidP="002A2B93">
            <w:pPr>
              <w:spacing w:before="0"/>
              <w:jc w:val="center"/>
              <w:rPr>
                <w:rFonts w:cs="Arial"/>
                <w:b/>
                <w:bCs/>
                <w:color w:val="FFFFFF"/>
                <w:sz w:val="18"/>
                <w:szCs w:val="18"/>
              </w:rPr>
            </w:pPr>
          </w:p>
          <w:p w14:paraId="6120AAEE" w14:textId="4894C935" w:rsidR="00FB746B" w:rsidRPr="00FB746B" w:rsidRDefault="00FB746B" w:rsidP="002A2B93">
            <w:pPr>
              <w:spacing w:before="0"/>
              <w:jc w:val="center"/>
              <w:rPr>
                <w:rFonts w:cs="Arial"/>
                <w:b/>
                <w:bCs/>
                <w:color w:val="FFFFFF"/>
                <w:sz w:val="18"/>
                <w:szCs w:val="18"/>
              </w:rPr>
            </w:pPr>
          </w:p>
          <w:p w14:paraId="6399B1EC" w14:textId="0EF7E12E" w:rsidR="00FB746B" w:rsidRPr="00FB746B" w:rsidRDefault="00FB746B" w:rsidP="002A2B93">
            <w:pPr>
              <w:spacing w:before="0"/>
              <w:jc w:val="center"/>
              <w:rPr>
                <w:rFonts w:cs="Arial"/>
                <w:b/>
                <w:bCs/>
                <w:color w:val="FFFFFF"/>
                <w:sz w:val="18"/>
                <w:szCs w:val="18"/>
              </w:rPr>
            </w:pPr>
          </w:p>
          <w:p w14:paraId="031B7667" w14:textId="56865CE7" w:rsidR="00FB746B" w:rsidRPr="00FB746B" w:rsidRDefault="00FB746B" w:rsidP="002A2B93">
            <w:pPr>
              <w:spacing w:before="0"/>
              <w:jc w:val="center"/>
              <w:rPr>
                <w:rFonts w:cs="Arial"/>
                <w:b/>
                <w:bCs/>
                <w:color w:val="FFFFFF"/>
                <w:sz w:val="18"/>
                <w:szCs w:val="18"/>
              </w:rPr>
            </w:pPr>
          </w:p>
          <w:p w14:paraId="45D8B796" w14:textId="7BA6F6C9" w:rsidR="00FB746B" w:rsidRPr="00FB746B" w:rsidRDefault="00FB746B" w:rsidP="002A2B93">
            <w:pPr>
              <w:spacing w:before="0"/>
              <w:jc w:val="center"/>
              <w:rPr>
                <w:rFonts w:cs="Arial"/>
                <w:b/>
                <w:bCs/>
                <w:color w:val="FFFFFF"/>
                <w:sz w:val="18"/>
                <w:szCs w:val="18"/>
              </w:rPr>
            </w:pPr>
          </w:p>
        </w:tc>
      </w:tr>
      <w:tr w:rsidR="00622474" w:rsidRPr="00FB746B" w14:paraId="28B82AF3"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16111163" w14:textId="77777777" w:rsidR="00622474" w:rsidRPr="00FB746B" w:rsidRDefault="00622474" w:rsidP="00622474">
            <w:pPr>
              <w:spacing w:before="0"/>
              <w:jc w:val="left"/>
              <w:rPr>
                <w:rFonts w:cs="Arial"/>
                <w:color w:val="000000"/>
                <w:sz w:val="18"/>
                <w:szCs w:val="18"/>
              </w:rPr>
            </w:pPr>
            <w:r w:rsidRPr="00FB746B">
              <w:rPr>
                <w:rFonts w:cs="Arial"/>
                <w:color w:val="000000"/>
                <w:sz w:val="18"/>
                <w:szCs w:val="18"/>
              </w:rPr>
              <w:t>Low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27D4CBF2" w14:textId="079B59C1" w:rsidR="00622474" w:rsidRPr="00FB746B" w:rsidRDefault="00622474" w:rsidP="002A2B93">
            <w:pPr>
              <w:spacing w:before="0"/>
              <w:jc w:val="center"/>
              <w:rPr>
                <w:rFonts w:cs="Arial"/>
                <w:color w:val="000000"/>
                <w:sz w:val="18"/>
                <w:szCs w:val="18"/>
              </w:rPr>
            </w:pPr>
            <w:r w:rsidRPr="00FB746B">
              <w:rPr>
                <w:rFonts w:cs="Arial"/>
                <w:color w:val="000000"/>
                <w:sz w:val="18"/>
                <w:szCs w:val="18"/>
              </w:rPr>
              <w:t>88</w:t>
            </w:r>
          </w:p>
        </w:tc>
        <w:tc>
          <w:tcPr>
            <w:tcW w:w="809" w:type="dxa"/>
            <w:tcBorders>
              <w:top w:val="nil"/>
              <w:left w:val="nil"/>
              <w:bottom w:val="dashed" w:sz="8" w:space="0" w:color="FFFFFF"/>
              <w:right w:val="dashed" w:sz="8" w:space="0" w:color="FFFFFF"/>
            </w:tcBorders>
            <w:shd w:val="clear" w:color="000000" w:fill="EFD3D2"/>
            <w:noWrap/>
          </w:tcPr>
          <w:p w14:paraId="29A0D99C" w14:textId="7A5C3355" w:rsidR="00622474" w:rsidRPr="00FB746B" w:rsidRDefault="00D75EBC" w:rsidP="002A2B93">
            <w:pPr>
              <w:spacing w:before="0"/>
              <w:jc w:val="center"/>
              <w:rPr>
                <w:rFonts w:cs="Arial"/>
                <w:color w:val="000000"/>
                <w:sz w:val="18"/>
                <w:szCs w:val="18"/>
              </w:rPr>
            </w:pPr>
            <w:r>
              <w:rPr>
                <w:rFonts w:cs="Arial"/>
                <w:color w:val="000000"/>
                <w:sz w:val="18"/>
                <w:szCs w:val="18"/>
              </w:rPr>
              <w:t>88</w:t>
            </w:r>
          </w:p>
        </w:tc>
        <w:tc>
          <w:tcPr>
            <w:tcW w:w="809" w:type="dxa"/>
            <w:tcBorders>
              <w:top w:val="nil"/>
              <w:left w:val="nil"/>
              <w:bottom w:val="dashed" w:sz="8" w:space="0" w:color="FFFFFF"/>
              <w:right w:val="dashed" w:sz="8" w:space="0" w:color="FFFFFF"/>
            </w:tcBorders>
            <w:shd w:val="clear" w:color="000000" w:fill="EFD3D2"/>
            <w:noWrap/>
            <w:vAlign w:val="center"/>
            <w:hideMark/>
          </w:tcPr>
          <w:p w14:paraId="1AC8EF38" w14:textId="6DCEFF73"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298DFE01" w14:textId="6DD598C1"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47562ADA" w14:textId="3D710CA7"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4FB6D9C4" w14:textId="34FF47D2"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34CD159C" w14:textId="4073255F"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702" w:type="dxa"/>
            <w:tcBorders>
              <w:top w:val="nil"/>
              <w:left w:val="nil"/>
              <w:bottom w:val="dashed" w:sz="8" w:space="0" w:color="FFFFFF"/>
              <w:right w:val="dashed" w:sz="8" w:space="0" w:color="FFFFFF"/>
            </w:tcBorders>
            <w:shd w:val="clear" w:color="000000" w:fill="EFD3D2"/>
            <w:noWrap/>
            <w:vAlign w:val="center"/>
            <w:hideMark/>
          </w:tcPr>
          <w:p w14:paraId="3AC2E09B" w14:textId="1C6D7E70"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993" w:type="dxa"/>
            <w:tcBorders>
              <w:top w:val="nil"/>
              <w:left w:val="nil"/>
              <w:bottom w:val="dashed" w:sz="8" w:space="0" w:color="FFFFFF"/>
              <w:right w:val="dashed" w:sz="8" w:space="0" w:color="FFFFFF"/>
            </w:tcBorders>
            <w:shd w:val="clear" w:color="000000" w:fill="EFD3D2"/>
            <w:noWrap/>
            <w:vAlign w:val="center"/>
            <w:hideMark/>
          </w:tcPr>
          <w:p w14:paraId="612F7977" w14:textId="2F9848C2"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732" w:type="dxa"/>
            <w:tcBorders>
              <w:top w:val="nil"/>
              <w:left w:val="nil"/>
              <w:bottom w:val="dashed" w:sz="8" w:space="0" w:color="FFFFFF"/>
              <w:right w:val="dashed" w:sz="8" w:space="0" w:color="FFFFFF"/>
            </w:tcBorders>
            <w:shd w:val="clear" w:color="000000" w:fill="EFD3D2"/>
            <w:noWrap/>
            <w:vAlign w:val="center"/>
            <w:hideMark/>
          </w:tcPr>
          <w:p w14:paraId="7553BE4B" w14:textId="002C0B8E"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r>
      <w:tr w:rsidR="00622474" w:rsidRPr="00FB746B" w14:paraId="7F9277C2"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auto" w:fill="auto"/>
            <w:noWrap/>
            <w:vAlign w:val="center"/>
            <w:hideMark/>
          </w:tcPr>
          <w:p w14:paraId="3C546EBD" w14:textId="77777777" w:rsidR="00622474" w:rsidRPr="00FB746B" w:rsidRDefault="00622474" w:rsidP="00622474">
            <w:pPr>
              <w:spacing w:before="0"/>
              <w:jc w:val="left"/>
              <w:rPr>
                <w:rFonts w:cs="Arial"/>
                <w:sz w:val="18"/>
                <w:szCs w:val="18"/>
              </w:rPr>
            </w:pPr>
            <w:r w:rsidRPr="00FB746B">
              <w:rPr>
                <w:rFonts w:cs="Arial"/>
                <w:sz w:val="18"/>
                <w:szCs w:val="16"/>
              </w:rPr>
              <w:t>Middle income</w:t>
            </w:r>
          </w:p>
        </w:tc>
        <w:tc>
          <w:tcPr>
            <w:tcW w:w="808" w:type="dxa"/>
            <w:tcBorders>
              <w:top w:val="nil"/>
              <w:left w:val="nil"/>
              <w:bottom w:val="dashed" w:sz="8" w:space="0" w:color="FFFFFF"/>
              <w:right w:val="dashed" w:sz="8" w:space="0" w:color="FFFFFF"/>
            </w:tcBorders>
            <w:shd w:val="clear" w:color="auto" w:fill="auto"/>
            <w:noWrap/>
            <w:vAlign w:val="center"/>
            <w:hideMark/>
          </w:tcPr>
          <w:p w14:paraId="0E2926EC" w14:textId="34C3E83B" w:rsidR="00622474" w:rsidRPr="00FB746B" w:rsidRDefault="00622474" w:rsidP="002A2B93">
            <w:pPr>
              <w:spacing w:before="0"/>
              <w:jc w:val="center"/>
              <w:rPr>
                <w:rFonts w:cs="Arial"/>
                <w:sz w:val="18"/>
                <w:szCs w:val="18"/>
              </w:rPr>
            </w:pPr>
            <w:r w:rsidRPr="00FB746B">
              <w:rPr>
                <w:rFonts w:cs="Arial"/>
                <w:sz w:val="18"/>
                <w:szCs w:val="18"/>
              </w:rPr>
              <w:t>88</w:t>
            </w:r>
          </w:p>
        </w:tc>
        <w:tc>
          <w:tcPr>
            <w:tcW w:w="809" w:type="dxa"/>
            <w:tcBorders>
              <w:top w:val="nil"/>
              <w:left w:val="nil"/>
              <w:bottom w:val="dashed" w:sz="8" w:space="0" w:color="FFFFFF"/>
              <w:right w:val="dashed" w:sz="8" w:space="0" w:color="FFFFFF"/>
            </w:tcBorders>
            <w:shd w:val="clear" w:color="auto" w:fill="auto"/>
            <w:noWrap/>
          </w:tcPr>
          <w:p w14:paraId="5BC6F28A" w14:textId="5296DA6F" w:rsidR="00622474" w:rsidRPr="00FB746B" w:rsidRDefault="00D75EBC" w:rsidP="002A2B93">
            <w:pPr>
              <w:spacing w:before="0"/>
              <w:jc w:val="center"/>
              <w:rPr>
                <w:rFonts w:cs="Arial"/>
                <w:sz w:val="18"/>
                <w:szCs w:val="18"/>
              </w:rPr>
            </w:pPr>
            <w:r>
              <w:rPr>
                <w:rFonts w:cs="Arial"/>
                <w:color w:val="000000"/>
                <w:sz w:val="18"/>
                <w:szCs w:val="18"/>
              </w:rPr>
              <w:t>88</w:t>
            </w:r>
          </w:p>
        </w:tc>
        <w:tc>
          <w:tcPr>
            <w:tcW w:w="809" w:type="dxa"/>
            <w:tcBorders>
              <w:top w:val="nil"/>
              <w:left w:val="nil"/>
              <w:bottom w:val="dashed" w:sz="8" w:space="0" w:color="FFFFFF"/>
              <w:right w:val="dashed" w:sz="8" w:space="0" w:color="FFFFFF"/>
            </w:tcBorders>
            <w:shd w:val="clear" w:color="auto" w:fill="auto"/>
            <w:noWrap/>
            <w:vAlign w:val="center"/>
            <w:hideMark/>
          </w:tcPr>
          <w:p w14:paraId="7A538AEB" w14:textId="5AB0E844" w:rsidR="00622474" w:rsidRPr="00FB746B" w:rsidRDefault="00622474" w:rsidP="002A2B93">
            <w:pPr>
              <w:spacing w:before="0"/>
              <w:jc w:val="center"/>
              <w:rPr>
                <w:rFonts w:cs="Arial"/>
                <w:sz w:val="18"/>
                <w:szCs w:val="18"/>
              </w:rPr>
            </w:pPr>
            <w:r w:rsidRPr="00FB746B">
              <w:rPr>
                <w:rFonts w:cs="Arial"/>
                <w:sz w:val="18"/>
                <w:szCs w:val="18"/>
              </w:rPr>
              <w:t>85</w:t>
            </w:r>
          </w:p>
        </w:tc>
        <w:tc>
          <w:tcPr>
            <w:tcW w:w="809" w:type="dxa"/>
            <w:tcBorders>
              <w:top w:val="nil"/>
              <w:left w:val="nil"/>
              <w:bottom w:val="dashed" w:sz="8" w:space="0" w:color="FFFFFF"/>
              <w:right w:val="dashed" w:sz="8" w:space="0" w:color="FFFFFF"/>
            </w:tcBorders>
            <w:shd w:val="clear" w:color="auto" w:fill="auto"/>
            <w:noWrap/>
            <w:vAlign w:val="center"/>
            <w:hideMark/>
          </w:tcPr>
          <w:p w14:paraId="72056410" w14:textId="4FCB4FD8" w:rsidR="00622474" w:rsidRPr="00FB746B" w:rsidRDefault="00622474" w:rsidP="002A2B93">
            <w:pPr>
              <w:spacing w:before="0"/>
              <w:jc w:val="center"/>
              <w:rPr>
                <w:rFonts w:cs="Arial"/>
                <w:sz w:val="18"/>
                <w:szCs w:val="18"/>
              </w:rPr>
            </w:pPr>
            <w:r w:rsidRPr="00FB746B">
              <w:rPr>
                <w:rFonts w:cs="Arial"/>
                <w:sz w:val="18"/>
                <w:szCs w:val="18"/>
              </w:rPr>
              <w:t>93</w:t>
            </w:r>
          </w:p>
        </w:tc>
        <w:tc>
          <w:tcPr>
            <w:tcW w:w="809" w:type="dxa"/>
            <w:tcBorders>
              <w:top w:val="nil"/>
              <w:left w:val="nil"/>
              <w:bottom w:val="dashed" w:sz="8" w:space="0" w:color="FFFFFF"/>
              <w:right w:val="dashed" w:sz="8" w:space="0" w:color="FFFFFF"/>
            </w:tcBorders>
            <w:shd w:val="clear" w:color="auto" w:fill="auto"/>
            <w:noWrap/>
            <w:vAlign w:val="center"/>
            <w:hideMark/>
          </w:tcPr>
          <w:p w14:paraId="53DC9C0B" w14:textId="45C2F4D3" w:rsidR="00622474" w:rsidRPr="00FB746B" w:rsidRDefault="00622474" w:rsidP="002A2B93">
            <w:pPr>
              <w:spacing w:before="0"/>
              <w:jc w:val="center"/>
              <w:rPr>
                <w:rFonts w:cs="Arial"/>
                <w:sz w:val="18"/>
                <w:szCs w:val="18"/>
              </w:rPr>
            </w:pPr>
            <w:r w:rsidRPr="00FB746B">
              <w:rPr>
                <w:rFonts w:cs="Arial"/>
                <w:sz w:val="18"/>
                <w:szCs w:val="18"/>
              </w:rPr>
              <w:t>100</w:t>
            </w:r>
          </w:p>
        </w:tc>
        <w:tc>
          <w:tcPr>
            <w:tcW w:w="809" w:type="dxa"/>
            <w:tcBorders>
              <w:top w:val="nil"/>
              <w:left w:val="nil"/>
              <w:bottom w:val="dashed" w:sz="8" w:space="0" w:color="FFFFFF"/>
              <w:right w:val="dashed" w:sz="8" w:space="0" w:color="FFFFFF"/>
            </w:tcBorders>
            <w:shd w:val="clear" w:color="auto" w:fill="auto"/>
            <w:noWrap/>
            <w:vAlign w:val="center"/>
            <w:hideMark/>
          </w:tcPr>
          <w:p w14:paraId="515B30EE" w14:textId="633716F2" w:rsidR="00622474" w:rsidRPr="00FB746B" w:rsidRDefault="00622474" w:rsidP="002A2B93">
            <w:pPr>
              <w:spacing w:before="0"/>
              <w:jc w:val="center"/>
              <w:rPr>
                <w:rFonts w:cs="Arial"/>
                <w:sz w:val="18"/>
                <w:szCs w:val="18"/>
              </w:rPr>
            </w:pPr>
            <w:r w:rsidRPr="00FB746B">
              <w:rPr>
                <w:rFonts w:cs="Arial"/>
                <w:sz w:val="18"/>
                <w:szCs w:val="18"/>
              </w:rPr>
              <w:t>100</w:t>
            </w:r>
          </w:p>
        </w:tc>
        <w:tc>
          <w:tcPr>
            <w:tcW w:w="809" w:type="dxa"/>
            <w:tcBorders>
              <w:top w:val="nil"/>
              <w:left w:val="nil"/>
              <w:bottom w:val="dashed" w:sz="8" w:space="0" w:color="FFFFFF"/>
              <w:right w:val="dashed" w:sz="8" w:space="0" w:color="FFFFFF"/>
            </w:tcBorders>
            <w:shd w:val="clear" w:color="auto" w:fill="auto"/>
            <w:noWrap/>
            <w:vAlign w:val="center"/>
            <w:hideMark/>
          </w:tcPr>
          <w:p w14:paraId="3270F99F" w14:textId="53782904" w:rsidR="00622474" w:rsidRPr="00FB746B" w:rsidRDefault="00622474" w:rsidP="002A2B93">
            <w:pPr>
              <w:spacing w:before="0"/>
              <w:jc w:val="center"/>
              <w:rPr>
                <w:rFonts w:cs="Arial"/>
                <w:sz w:val="18"/>
                <w:szCs w:val="18"/>
              </w:rPr>
            </w:pPr>
            <w:r w:rsidRPr="00FB746B">
              <w:rPr>
                <w:rFonts w:cs="Arial"/>
                <w:sz w:val="18"/>
                <w:szCs w:val="18"/>
              </w:rPr>
              <w:t>100</w:t>
            </w:r>
          </w:p>
        </w:tc>
        <w:tc>
          <w:tcPr>
            <w:tcW w:w="702" w:type="dxa"/>
            <w:tcBorders>
              <w:top w:val="nil"/>
              <w:left w:val="nil"/>
              <w:bottom w:val="dashed" w:sz="8" w:space="0" w:color="FFFFFF"/>
              <w:right w:val="dashed" w:sz="8" w:space="0" w:color="FFFFFF"/>
            </w:tcBorders>
            <w:shd w:val="clear" w:color="auto" w:fill="auto"/>
            <w:noWrap/>
            <w:vAlign w:val="center"/>
            <w:hideMark/>
          </w:tcPr>
          <w:p w14:paraId="33251677" w14:textId="43CA55E5" w:rsidR="00622474" w:rsidRPr="00FB746B" w:rsidRDefault="00622474" w:rsidP="002A2B93">
            <w:pPr>
              <w:spacing w:before="0"/>
              <w:jc w:val="center"/>
              <w:rPr>
                <w:rFonts w:cs="Arial"/>
                <w:sz w:val="18"/>
                <w:szCs w:val="18"/>
              </w:rPr>
            </w:pPr>
            <w:r w:rsidRPr="00FB746B">
              <w:rPr>
                <w:rFonts w:cs="Arial"/>
                <w:sz w:val="18"/>
                <w:szCs w:val="18"/>
              </w:rPr>
              <w:t>100</w:t>
            </w:r>
          </w:p>
        </w:tc>
        <w:tc>
          <w:tcPr>
            <w:tcW w:w="993" w:type="dxa"/>
            <w:tcBorders>
              <w:top w:val="nil"/>
              <w:left w:val="nil"/>
              <w:bottom w:val="dashed" w:sz="8" w:space="0" w:color="FFFFFF"/>
              <w:right w:val="dashed" w:sz="8" w:space="0" w:color="FFFFFF"/>
            </w:tcBorders>
            <w:shd w:val="clear" w:color="auto" w:fill="auto"/>
            <w:noWrap/>
            <w:vAlign w:val="center"/>
            <w:hideMark/>
          </w:tcPr>
          <w:p w14:paraId="30DB9492" w14:textId="444E0B0E" w:rsidR="00622474" w:rsidRPr="00FB746B" w:rsidRDefault="00622474" w:rsidP="002A2B93">
            <w:pPr>
              <w:spacing w:before="0"/>
              <w:jc w:val="center"/>
              <w:rPr>
                <w:rFonts w:cs="Arial"/>
                <w:sz w:val="18"/>
                <w:szCs w:val="18"/>
              </w:rPr>
            </w:pPr>
            <w:r w:rsidRPr="00FB746B">
              <w:rPr>
                <w:rFonts w:cs="Arial"/>
                <w:sz w:val="18"/>
                <w:szCs w:val="18"/>
              </w:rPr>
              <w:t>100</w:t>
            </w:r>
          </w:p>
        </w:tc>
        <w:tc>
          <w:tcPr>
            <w:tcW w:w="732" w:type="dxa"/>
            <w:tcBorders>
              <w:top w:val="nil"/>
              <w:left w:val="nil"/>
              <w:bottom w:val="dashed" w:sz="8" w:space="0" w:color="FFFFFF"/>
              <w:right w:val="dashed" w:sz="8" w:space="0" w:color="FFFFFF"/>
            </w:tcBorders>
            <w:shd w:val="clear" w:color="auto" w:fill="auto"/>
            <w:noWrap/>
            <w:vAlign w:val="center"/>
            <w:hideMark/>
          </w:tcPr>
          <w:p w14:paraId="72DF677F" w14:textId="010B0243" w:rsidR="00622474" w:rsidRPr="00FB746B" w:rsidRDefault="00622474" w:rsidP="002A2B93">
            <w:pPr>
              <w:spacing w:before="0"/>
              <w:jc w:val="center"/>
              <w:rPr>
                <w:rFonts w:cs="Arial"/>
                <w:sz w:val="18"/>
                <w:szCs w:val="18"/>
              </w:rPr>
            </w:pPr>
            <w:r w:rsidRPr="00FB746B">
              <w:rPr>
                <w:rFonts w:cs="Arial"/>
                <w:sz w:val="18"/>
                <w:szCs w:val="18"/>
              </w:rPr>
              <w:t>80</w:t>
            </w:r>
          </w:p>
        </w:tc>
      </w:tr>
      <w:tr w:rsidR="00622474" w:rsidRPr="00FB746B" w14:paraId="5ACA73FF"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31093ACC" w14:textId="77777777" w:rsidR="00622474" w:rsidRPr="00FB746B" w:rsidRDefault="00622474" w:rsidP="00622474">
            <w:pPr>
              <w:spacing w:before="0"/>
              <w:jc w:val="left"/>
              <w:rPr>
                <w:rFonts w:cs="Arial"/>
                <w:color w:val="000000"/>
                <w:sz w:val="18"/>
                <w:szCs w:val="18"/>
              </w:rPr>
            </w:pPr>
            <w:r w:rsidRPr="00FB746B">
              <w:rPr>
                <w:rFonts w:cs="Arial"/>
                <w:color w:val="000000"/>
                <w:sz w:val="18"/>
                <w:szCs w:val="18"/>
              </w:rPr>
              <w:t>High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4A217E8C" w14:textId="324E8BDB" w:rsidR="00622474" w:rsidRPr="00FB746B" w:rsidRDefault="00622474" w:rsidP="002A2B93">
            <w:pPr>
              <w:spacing w:before="0"/>
              <w:jc w:val="center"/>
              <w:rPr>
                <w:rFonts w:cs="Arial"/>
                <w:color w:val="000000"/>
                <w:sz w:val="18"/>
                <w:szCs w:val="18"/>
              </w:rPr>
            </w:pPr>
            <w:r w:rsidRPr="00FB746B">
              <w:rPr>
                <w:rFonts w:cs="Arial"/>
                <w:color w:val="000000"/>
                <w:sz w:val="18"/>
                <w:szCs w:val="18"/>
              </w:rPr>
              <w:t>86</w:t>
            </w:r>
          </w:p>
        </w:tc>
        <w:tc>
          <w:tcPr>
            <w:tcW w:w="809" w:type="dxa"/>
            <w:tcBorders>
              <w:top w:val="nil"/>
              <w:left w:val="nil"/>
              <w:bottom w:val="dashed" w:sz="8" w:space="0" w:color="FFFFFF"/>
              <w:right w:val="dashed" w:sz="8" w:space="0" w:color="FFFFFF"/>
            </w:tcBorders>
            <w:shd w:val="clear" w:color="000000" w:fill="EFD3D2"/>
            <w:noWrap/>
          </w:tcPr>
          <w:p w14:paraId="0200A3EB" w14:textId="4C184290" w:rsidR="00622474" w:rsidRPr="00FB746B" w:rsidRDefault="00D75EBC" w:rsidP="002A2B93">
            <w:pPr>
              <w:spacing w:before="0"/>
              <w:jc w:val="center"/>
              <w:rPr>
                <w:rFonts w:cs="Arial"/>
                <w:color w:val="000000"/>
                <w:sz w:val="18"/>
                <w:szCs w:val="18"/>
              </w:rPr>
            </w:pPr>
            <w:r>
              <w:rPr>
                <w:rFonts w:cs="Arial"/>
                <w:color w:val="000000"/>
                <w:sz w:val="18"/>
                <w:szCs w:val="18"/>
              </w:rPr>
              <w:t>88</w:t>
            </w:r>
          </w:p>
        </w:tc>
        <w:tc>
          <w:tcPr>
            <w:tcW w:w="809" w:type="dxa"/>
            <w:tcBorders>
              <w:top w:val="nil"/>
              <w:left w:val="nil"/>
              <w:bottom w:val="dashed" w:sz="8" w:space="0" w:color="FFFFFF"/>
              <w:right w:val="dashed" w:sz="8" w:space="0" w:color="FFFFFF"/>
            </w:tcBorders>
            <w:shd w:val="clear" w:color="000000" w:fill="EFD3D2"/>
            <w:noWrap/>
            <w:vAlign w:val="center"/>
            <w:hideMark/>
          </w:tcPr>
          <w:p w14:paraId="6D9D26CA" w14:textId="44D1A51F" w:rsidR="00622474" w:rsidRPr="00FB746B" w:rsidRDefault="00622474" w:rsidP="002A2B93">
            <w:pPr>
              <w:spacing w:before="0"/>
              <w:jc w:val="center"/>
              <w:rPr>
                <w:rFonts w:cs="Arial"/>
                <w:color w:val="000000"/>
                <w:sz w:val="18"/>
                <w:szCs w:val="18"/>
              </w:rPr>
            </w:pPr>
            <w:r w:rsidRPr="00FB746B">
              <w:rPr>
                <w:rFonts w:cs="Arial"/>
                <w:color w:val="000000"/>
                <w:sz w:val="18"/>
                <w:szCs w:val="18"/>
              </w:rPr>
              <w:t>85</w:t>
            </w:r>
          </w:p>
        </w:tc>
        <w:tc>
          <w:tcPr>
            <w:tcW w:w="809" w:type="dxa"/>
            <w:tcBorders>
              <w:top w:val="nil"/>
              <w:left w:val="nil"/>
              <w:bottom w:val="dashed" w:sz="8" w:space="0" w:color="FFFFFF"/>
              <w:right w:val="dashed" w:sz="8" w:space="0" w:color="FFFFFF"/>
            </w:tcBorders>
            <w:shd w:val="clear" w:color="000000" w:fill="EFD3D2"/>
            <w:noWrap/>
            <w:vAlign w:val="center"/>
            <w:hideMark/>
          </w:tcPr>
          <w:p w14:paraId="40E60AF9" w14:textId="39B874EF" w:rsidR="00622474" w:rsidRPr="00FB746B" w:rsidRDefault="00622474" w:rsidP="002A2B93">
            <w:pPr>
              <w:spacing w:before="0"/>
              <w:jc w:val="center"/>
              <w:rPr>
                <w:rFonts w:cs="Arial"/>
                <w:color w:val="000000"/>
                <w:sz w:val="18"/>
                <w:szCs w:val="18"/>
              </w:rPr>
            </w:pPr>
            <w:r w:rsidRPr="00FB746B">
              <w:rPr>
                <w:rFonts w:cs="Arial"/>
                <w:color w:val="000000"/>
                <w:sz w:val="18"/>
                <w:szCs w:val="18"/>
              </w:rPr>
              <w:t>93</w:t>
            </w:r>
          </w:p>
        </w:tc>
        <w:tc>
          <w:tcPr>
            <w:tcW w:w="809" w:type="dxa"/>
            <w:tcBorders>
              <w:top w:val="nil"/>
              <w:left w:val="nil"/>
              <w:bottom w:val="dashed" w:sz="8" w:space="0" w:color="FFFFFF"/>
              <w:right w:val="dashed" w:sz="8" w:space="0" w:color="FFFFFF"/>
            </w:tcBorders>
            <w:shd w:val="clear" w:color="000000" w:fill="EFD3D2"/>
            <w:noWrap/>
            <w:vAlign w:val="center"/>
            <w:hideMark/>
          </w:tcPr>
          <w:p w14:paraId="543FB91D" w14:textId="746ACEBC"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2BAD7264" w14:textId="408A014D"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380A2C89" w14:textId="0960BC52"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702" w:type="dxa"/>
            <w:tcBorders>
              <w:top w:val="nil"/>
              <w:left w:val="nil"/>
              <w:bottom w:val="dashed" w:sz="8" w:space="0" w:color="FFFFFF"/>
              <w:right w:val="dashed" w:sz="8" w:space="0" w:color="FFFFFF"/>
            </w:tcBorders>
            <w:shd w:val="clear" w:color="000000" w:fill="EFD3D2"/>
            <w:noWrap/>
            <w:vAlign w:val="center"/>
            <w:hideMark/>
          </w:tcPr>
          <w:p w14:paraId="795B652C" w14:textId="5F2544FE"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993" w:type="dxa"/>
            <w:tcBorders>
              <w:top w:val="nil"/>
              <w:left w:val="nil"/>
              <w:bottom w:val="dashed" w:sz="8" w:space="0" w:color="FFFFFF"/>
              <w:right w:val="dashed" w:sz="8" w:space="0" w:color="FFFFFF"/>
            </w:tcBorders>
            <w:shd w:val="clear" w:color="000000" w:fill="EFD3D2"/>
            <w:noWrap/>
            <w:vAlign w:val="center"/>
            <w:hideMark/>
          </w:tcPr>
          <w:p w14:paraId="42454E48" w14:textId="33D4AEBF"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732" w:type="dxa"/>
            <w:tcBorders>
              <w:top w:val="nil"/>
              <w:left w:val="nil"/>
              <w:bottom w:val="dashed" w:sz="8" w:space="0" w:color="FFFFFF"/>
              <w:right w:val="dashed" w:sz="8" w:space="0" w:color="FFFFFF"/>
            </w:tcBorders>
            <w:shd w:val="clear" w:color="000000" w:fill="EFD3D2"/>
            <w:noWrap/>
            <w:vAlign w:val="center"/>
            <w:hideMark/>
          </w:tcPr>
          <w:p w14:paraId="77D8FF63" w14:textId="0140B380"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r>
      <w:tr w:rsidR="00FB746B" w:rsidRPr="00FB746B" w14:paraId="07A87A16" w14:textId="77777777" w:rsidTr="002A2B93">
        <w:trPr>
          <w:trHeight w:hRule="exact" w:val="307"/>
        </w:trPr>
        <w:tc>
          <w:tcPr>
            <w:tcW w:w="9658" w:type="dxa"/>
            <w:gridSpan w:val="11"/>
            <w:tcBorders>
              <w:top w:val="nil"/>
              <w:left w:val="dashed" w:sz="8" w:space="0" w:color="FFFFFF"/>
              <w:bottom w:val="dashed" w:sz="8" w:space="0" w:color="FFFFFF"/>
              <w:right w:val="dashed" w:sz="8" w:space="0" w:color="FFFFFF"/>
            </w:tcBorders>
            <w:shd w:val="clear" w:color="000000" w:fill="808080"/>
            <w:noWrap/>
            <w:vAlign w:val="center"/>
            <w:hideMark/>
          </w:tcPr>
          <w:p w14:paraId="3F2C2A45" w14:textId="77777777" w:rsidR="00FB746B" w:rsidRPr="00FB746B" w:rsidRDefault="00FB746B" w:rsidP="002A2B93">
            <w:pPr>
              <w:spacing w:before="0"/>
              <w:jc w:val="center"/>
              <w:rPr>
                <w:rFonts w:cs="Arial"/>
                <w:b/>
                <w:bCs/>
                <w:color w:val="FFFFFF"/>
                <w:sz w:val="18"/>
                <w:szCs w:val="18"/>
              </w:rPr>
            </w:pPr>
            <w:r w:rsidRPr="00FB746B">
              <w:rPr>
                <w:rFonts w:cs="Arial"/>
                <w:b/>
                <w:bCs/>
                <w:color w:val="FFFFFF" w:themeColor="background1"/>
                <w:sz w:val="18"/>
                <w:szCs w:val="16"/>
              </w:rPr>
              <w:t>52 weeks of incapacity</w:t>
            </w:r>
          </w:p>
          <w:p w14:paraId="660AE2E4" w14:textId="4F567A4D" w:rsidR="00FB746B" w:rsidRPr="00FB746B" w:rsidRDefault="00FB746B" w:rsidP="002A2B93">
            <w:pPr>
              <w:spacing w:before="0"/>
              <w:jc w:val="center"/>
              <w:rPr>
                <w:rFonts w:cs="Arial"/>
                <w:b/>
                <w:bCs/>
                <w:color w:val="FFFFFF"/>
                <w:sz w:val="18"/>
                <w:szCs w:val="18"/>
              </w:rPr>
            </w:pPr>
          </w:p>
          <w:p w14:paraId="668B810D" w14:textId="439EAA6C" w:rsidR="00FB746B" w:rsidRPr="00FB746B" w:rsidRDefault="00FB746B" w:rsidP="002A2B93">
            <w:pPr>
              <w:spacing w:before="0"/>
              <w:jc w:val="center"/>
              <w:rPr>
                <w:rFonts w:cs="Arial"/>
                <w:b/>
                <w:bCs/>
                <w:color w:val="FFFFFF"/>
                <w:sz w:val="18"/>
                <w:szCs w:val="18"/>
              </w:rPr>
            </w:pPr>
          </w:p>
          <w:p w14:paraId="0B954B93" w14:textId="38FCD1E5" w:rsidR="00FB746B" w:rsidRPr="00FB746B" w:rsidRDefault="00FB746B" w:rsidP="002A2B93">
            <w:pPr>
              <w:spacing w:before="0"/>
              <w:jc w:val="center"/>
              <w:rPr>
                <w:rFonts w:cs="Arial"/>
                <w:b/>
                <w:bCs/>
                <w:color w:val="FFFFFF"/>
                <w:sz w:val="18"/>
                <w:szCs w:val="18"/>
              </w:rPr>
            </w:pPr>
          </w:p>
          <w:p w14:paraId="72336EB1" w14:textId="560CFDCE" w:rsidR="00FB746B" w:rsidRPr="00FB746B" w:rsidRDefault="00FB746B" w:rsidP="002A2B93">
            <w:pPr>
              <w:spacing w:before="0"/>
              <w:jc w:val="center"/>
              <w:rPr>
                <w:rFonts w:cs="Arial"/>
                <w:b/>
                <w:bCs/>
                <w:color w:val="FFFFFF"/>
                <w:sz w:val="18"/>
                <w:szCs w:val="18"/>
              </w:rPr>
            </w:pPr>
          </w:p>
          <w:p w14:paraId="6CDA6E50" w14:textId="4B71A9D7" w:rsidR="00FB746B" w:rsidRPr="00FB746B" w:rsidRDefault="00FB746B" w:rsidP="002A2B93">
            <w:pPr>
              <w:spacing w:before="0"/>
              <w:jc w:val="center"/>
              <w:rPr>
                <w:rFonts w:cs="Arial"/>
                <w:b/>
                <w:bCs/>
                <w:color w:val="FFFFFF"/>
                <w:sz w:val="18"/>
                <w:szCs w:val="18"/>
              </w:rPr>
            </w:pPr>
          </w:p>
          <w:p w14:paraId="2D96210F" w14:textId="628D8D6C" w:rsidR="00FB746B" w:rsidRPr="00FB746B" w:rsidRDefault="00FB746B" w:rsidP="002A2B93">
            <w:pPr>
              <w:spacing w:before="0"/>
              <w:jc w:val="center"/>
              <w:rPr>
                <w:rFonts w:cs="Arial"/>
                <w:b/>
                <w:bCs/>
                <w:color w:val="FFFFFF"/>
                <w:sz w:val="18"/>
                <w:szCs w:val="18"/>
              </w:rPr>
            </w:pPr>
          </w:p>
          <w:p w14:paraId="11D1DD18" w14:textId="6B774CC9" w:rsidR="00FB746B" w:rsidRPr="00FB746B" w:rsidRDefault="00FB746B" w:rsidP="002A2B93">
            <w:pPr>
              <w:spacing w:before="0"/>
              <w:jc w:val="center"/>
              <w:rPr>
                <w:rFonts w:cs="Arial"/>
                <w:b/>
                <w:bCs/>
                <w:color w:val="FFFFFF"/>
                <w:sz w:val="18"/>
                <w:szCs w:val="18"/>
              </w:rPr>
            </w:pPr>
          </w:p>
          <w:p w14:paraId="6F6E3088" w14:textId="5AC9B214" w:rsidR="00FB746B" w:rsidRPr="00FB746B" w:rsidRDefault="00FB746B" w:rsidP="002A2B93">
            <w:pPr>
              <w:spacing w:before="0"/>
              <w:jc w:val="center"/>
              <w:rPr>
                <w:rFonts w:cs="Arial"/>
                <w:b/>
                <w:bCs/>
                <w:color w:val="FFFFFF"/>
                <w:sz w:val="18"/>
                <w:szCs w:val="18"/>
              </w:rPr>
            </w:pPr>
          </w:p>
          <w:p w14:paraId="108CE135" w14:textId="06C19B3C" w:rsidR="00FB746B" w:rsidRPr="00FB746B" w:rsidRDefault="00FB746B" w:rsidP="002A2B93">
            <w:pPr>
              <w:spacing w:before="0"/>
              <w:jc w:val="center"/>
              <w:rPr>
                <w:rFonts w:cs="Arial"/>
                <w:b/>
                <w:bCs/>
                <w:color w:val="FFFFFF"/>
                <w:sz w:val="18"/>
                <w:szCs w:val="18"/>
              </w:rPr>
            </w:pPr>
          </w:p>
        </w:tc>
      </w:tr>
      <w:tr w:rsidR="00622474" w:rsidRPr="00FB746B" w14:paraId="6DF74E51"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65604A93" w14:textId="77777777" w:rsidR="00622474" w:rsidRPr="00FB746B" w:rsidRDefault="00622474" w:rsidP="00622474">
            <w:pPr>
              <w:spacing w:before="0"/>
              <w:jc w:val="left"/>
              <w:rPr>
                <w:rFonts w:cs="Arial"/>
                <w:color w:val="000000"/>
                <w:sz w:val="18"/>
                <w:szCs w:val="18"/>
              </w:rPr>
            </w:pPr>
            <w:r w:rsidRPr="00FB746B">
              <w:rPr>
                <w:rFonts w:cs="Arial"/>
                <w:color w:val="000000"/>
                <w:sz w:val="18"/>
                <w:szCs w:val="18"/>
              </w:rPr>
              <w:t>Low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3A19C62A" w14:textId="2A32EE5F" w:rsidR="00622474" w:rsidRPr="00FB746B" w:rsidRDefault="00622474" w:rsidP="002A2B93">
            <w:pPr>
              <w:spacing w:before="0"/>
              <w:jc w:val="center"/>
              <w:rPr>
                <w:rFonts w:cs="Arial"/>
                <w:color w:val="000000"/>
                <w:sz w:val="18"/>
                <w:szCs w:val="18"/>
              </w:rPr>
            </w:pPr>
            <w:r w:rsidRPr="00FB746B">
              <w:rPr>
                <w:rFonts w:cs="Arial"/>
                <w:color w:val="000000"/>
                <w:sz w:val="18"/>
                <w:szCs w:val="18"/>
              </w:rPr>
              <w:t>84</w:t>
            </w:r>
          </w:p>
        </w:tc>
        <w:tc>
          <w:tcPr>
            <w:tcW w:w="809" w:type="dxa"/>
            <w:tcBorders>
              <w:top w:val="nil"/>
              <w:left w:val="nil"/>
              <w:bottom w:val="dashed" w:sz="8" w:space="0" w:color="FFFFFF"/>
              <w:right w:val="dashed" w:sz="8" w:space="0" w:color="FFFFFF"/>
            </w:tcBorders>
            <w:shd w:val="clear" w:color="000000" w:fill="EFD3D2"/>
            <w:noWrap/>
          </w:tcPr>
          <w:p w14:paraId="09D40E28" w14:textId="50B37B17" w:rsidR="00622474" w:rsidRPr="00FB746B" w:rsidRDefault="00D75EBC" w:rsidP="002A2B93">
            <w:pPr>
              <w:spacing w:before="0"/>
              <w:jc w:val="center"/>
              <w:rPr>
                <w:rFonts w:cs="Arial"/>
                <w:color w:val="000000"/>
                <w:sz w:val="18"/>
                <w:szCs w:val="18"/>
              </w:rPr>
            </w:pPr>
            <w:r>
              <w:rPr>
                <w:rFonts w:cs="Arial"/>
                <w:color w:val="000000"/>
                <w:sz w:val="18"/>
                <w:szCs w:val="18"/>
              </w:rPr>
              <w:t>84</w:t>
            </w:r>
          </w:p>
        </w:tc>
        <w:tc>
          <w:tcPr>
            <w:tcW w:w="809" w:type="dxa"/>
            <w:tcBorders>
              <w:top w:val="nil"/>
              <w:left w:val="nil"/>
              <w:bottom w:val="dashed" w:sz="8" w:space="0" w:color="FFFFFF"/>
              <w:right w:val="dashed" w:sz="8" w:space="0" w:color="FFFFFF"/>
            </w:tcBorders>
            <w:shd w:val="clear" w:color="000000" w:fill="EFD3D2"/>
            <w:noWrap/>
            <w:vAlign w:val="center"/>
            <w:hideMark/>
          </w:tcPr>
          <w:p w14:paraId="272FC04B" w14:textId="7EEF872E" w:rsidR="00622474" w:rsidRPr="00FB746B" w:rsidRDefault="00622474" w:rsidP="002A2B93">
            <w:pPr>
              <w:spacing w:before="0"/>
              <w:jc w:val="center"/>
              <w:rPr>
                <w:rFonts w:cs="Arial"/>
                <w:color w:val="000000"/>
                <w:sz w:val="18"/>
                <w:szCs w:val="18"/>
              </w:rPr>
            </w:pPr>
            <w:r w:rsidRPr="00FB746B">
              <w:rPr>
                <w:rFonts w:cs="Arial"/>
                <w:color w:val="000000"/>
                <w:sz w:val="18"/>
                <w:szCs w:val="18"/>
              </w:rPr>
              <w:t>98</w:t>
            </w:r>
          </w:p>
        </w:tc>
        <w:tc>
          <w:tcPr>
            <w:tcW w:w="809" w:type="dxa"/>
            <w:tcBorders>
              <w:top w:val="nil"/>
              <w:left w:val="nil"/>
              <w:bottom w:val="dashed" w:sz="8" w:space="0" w:color="FFFFFF"/>
              <w:right w:val="dashed" w:sz="8" w:space="0" w:color="FFFFFF"/>
            </w:tcBorders>
            <w:shd w:val="clear" w:color="000000" w:fill="EFD3D2"/>
            <w:noWrap/>
            <w:vAlign w:val="center"/>
            <w:hideMark/>
          </w:tcPr>
          <w:p w14:paraId="6DF0B3B7" w14:textId="4621DECB"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462B75B5" w14:textId="1C6CE358"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0C4F6EE8" w14:textId="097E6D2C" w:rsidR="00622474" w:rsidRPr="00FB746B" w:rsidRDefault="00622474" w:rsidP="002A2B93">
            <w:pPr>
              <w:spacing w:before="0"/>
              <w:jc w:val="center"/>
              <w:rPr>
                <w:rFonts w:cs="Arial"/>
                <w:color w:val="000000"/>
                <w:sz w:val="18"/>
                <w:szCs w:val="18"/>
              </w:rPr>
            </w:pPr>
            <w:r w:rsidRPr="00FB746B">
              <w:rPr>
                <w:rFonts w:cs="Arial"/>
                <w:color w:val="000000"/>
                <w:sz w:val="18"/>
                <w:szCs w:val="18"/>
              </w:rPr>
              <w:t>95</w:t>
            </w:r>
          </w:p>
        </w:tc>
        <w:tc>
          <w:tcPr>
            <w:tcW w:w="809" w:type="dxa"/>
            <w:tcBorders>
              <w:top w:val="nil"/>
              <w:left w:val="nil"/>
              <w:bottom w:val="dashed" w:sz="8" w:space="0" w:color="FFFFFF"/>
              <w:right w:val="dashed" w:sz="8" w:space="0" w:color="FFFFFF"/>
            </w:tcBorders>
            <w:shd w:val="clear" w:color="000000" w:fill="EFD3D2"/>
            <w:noWrap/>
            <w:vAlign w:val="center"/>
            <w:hideMark/>
          </w:tcPr>
          <w:p w14:paraId="5E5E7F10" w14:textId="5EA91976" w:rsidR="00622474" w:rsidRPr="00FB746B" w:rsidRDefault="00622474" w:rsidP="002A2B93">
            <w:pPr>
              <w:spacing w:before="0"/>
              <w:jc w:val="center"/>
              <w:rPr>
                <w:rFonts w:cs="Arial"/>
                <w:color w:val="000000"/>
                <w:sz w:val="18"/>
                <w:szCs w:val="18"/>
              </w:rPr>
            </w:pPr>
            <w:r w:rsidRPr="00FB746B">
              <w:rPr>
                <w:rFonts w:cs="Arial"/>
                <w:color w:val="000000"/>
                <w:sz w:val="18"/>
                <w:szCs w:val="18"/>
              </w:rPr>
              <w:t>95</w:t>
            </w:r>
          </w:p>
        </w:tc>
        <w:tc>
          <w:tcPr>
            <w:tcW w:w="702" w:type="dxa"/>
            <w:tcBorders>
              <w:top w:val="nil"/>
              <w:left w:val="nil"/>
              <w:bottom w:val="dashed" w:sz="8" w:space="0" w:color="FFFFFF"/>
              <w:right w:val="dashed" w:sz="8" w:space="0" w:color="FFFFFF"/>
            </w:tcBorders>
            <w:shd w:val="clear" w:color="000000" w:fill="EFD3D2"/>
            <w:noWrap/>
            <w:vAlign w:val="center"/>
            <w:hideMark/>
          </w:tcPr>
          <w:p w14:paraId="6A3D7F46" w14:textId="289CE184" w:rsidR="00622474" w:rsidRPr="00FB746B" w:rsidRDefault="00622474" w:rsidP="002A2B93">
            <w:pPr>
              <w:spacing w:before="0"/>
              <w:jc w:val="center"/>
              <w:rPr>
                <w:rFonts w:cs="Arial"/>
                <w:color w:val="000000"/>
                <w:sz w:val="18"/>
                <w:szCs w:val="18"/>
              </w:rPr>
            </w:pPr>
            <w:r w:rsidRPr="00FB746B">
              <w:rPr>
                <w:rFonts w:cs="Arial"/>
                <w:color w:val="000000"/>
                <w:sz w:val="18"/>
                <w:szCs w:val="18"/>
              </w:rPr>
              <w:t>83</w:t>
            </w:r>
          </w:p>
        </w:tc>
        <w:tc>
          <w:tcPr>
            <w:tcW w:w="993" w:type="dxa"/>
            <w:tcBorders>
              <w:top w:val="nil"/>
              <w:left w:val="nil"/>
              <w:bottom w:val="dashed" w:sz="8" w:space="0" w:color="FFFFFF"/>
              <w:right w:val="dashed" w:sz="8" w:space="0" w:color="FFFFFF"/>
            </w:tcBorders>
            <w:shd w:val="clear" w:color="000000" w:fill="EFD3D2"/>
            <w:noWrap/>
            <w:vAlign w:val="center"/>
            <w:hideMark/>
          </w:tcPr>
          <w:p w14:paraId="544880F0" w14:textId="1CAD7392" w:rsidR="00622474" w:rsidRPr="00FB746B" w:rsidRDefault="00622474" w:rsidP="002A2B93">
            <w:pPr>
              <w:spacing w:before="0"/>
              <w:jc w:val="center"/>
              <w:rPr>
                <w:rFonts w:cs="Arial"/>
                <w:color w:val="000000"/>
                <w:sz w:val="18"/>
                <w:szCs w:val="18"/>
              </w:rPr>
            </w:pPr>
            <w:r w:rsidRPr="00FB746B">
              <w:rPr>
                <w:rFonts w:cs="Arial"/>
                <w:color w:val="000000"/>
                <w:sz w:val="18"/>
                <w:szCs w:val="18"/>
              </w:rPr>
              <w:t>97</w:t>
            </w:r>
          </w:p>
        </w:tc>
        <w:tc>
          <w:tcPr>
            <w:tcW w:w="732" w:type="dxa"/>
            <w:tcBorders>
              <w:top w:val="nil"/>
              <w:left w:val="nil"/>
              <w:bottom w:val="dashed" w:sz="8" w:space="0" w:color="FFFFFF"/>
              <w:right w:val="dashed" w:sz="8" w:space="0" w:color="FFFFFF"/>
            </w:tcBorders>
            <w:shd w:val="clear" w:color="000000" w:fill="EFD3D2"/>
            <w:noWrap/>
            <w:vAlign w:val="center"/>
            <w:hideMark/>
          </w:tcPr>
          <w:p w14:paraId="7C874F3A" w14:textId="4537772A"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r>
      <w:tr w:rsidR="00622474" w:rsidRPr="00FB746B" w14:paraId="283004BC"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auto" w:fill="auto"/>
            <w:noWrap/>
            <w:vAlign w:val="center"/>
            <w:hideMark/>
          </w:tcPr>
          <w:p w14:paraId="43846925" w14:textId="77777777" w:rsidR="00622474" w:rsidRPr="00FB746B" w:rsidRDefault="00622474" w:rsidP="00622474">
            <w:pPr>
              <w:spacing w:before="0"/>
              <w:jc w:val="left"/>
              <w:rPr>
                <w:rFonts w:cs="Arial"/>
                <w:sz w:val="18"/>
                <w:szCs w:val="18"/>
              </w:rPr>
            </w:pPr>
            <w:r w:rsidRPr="00FB746B">
              <w:rPr>
                <w:rFonts w:cs="Arial"/>
                <w:sz w:val="18"/>
                <w:szCs w:val="16"/>
              </w:rPr>
              <w:t>Middle income</w:t>
            </w:r>
          </w:p>
        </w:tc>
        <w:tc>
          <w:tcPr>
            <w:tcW w:w="808" w:type="dxa"/>
            <w:tcBorders>
              <w:top w:val="nil"/>
              <w:left w:val="nil"/>
              <w:bottom w:val="dashed" w:sz="8" w:space="0" w:color="FFFFFF"/>
              <w:right w:val="dashed" w:sz="8" w:space="0" w:color="FFFFFF"/>
            </w:tcBorders>
            <w:shd w:val="clear" w:color="auto" w:fill="auto"/>
            <w:noWrap/>
            <w:vAlign w:val="center"/>
            <w:hideMark/>
          </w:tcPr>
          <w:p w14:paraId="49C283B0" w14:textId="7BE358E6" w:rsidR="00622474" w:rsidRPr="00FB746B" w:rsidRDefault="00622474" w:rsidP="002A2B93">
            <w:pPr>
              <w:spacing w:before="0"/>
              <w:jc w:val="center"/>
              <w:rPr>
                <w:rFonts w:cs="Arial"/>
                <w:sz w:val="18"/>
                <w:szCs w:val="18"/>
              </w:rPr>
            </w:pPr>
            <w:r w:rsidRPr="00FB746B">
              <w:rPr>
                <w:rFonts w:cs="Arial"/>
                <w:sz w:val="18"/>
                <w:szCs w:val="18"/>
              </w:rPr>
              <w:t>84</w:t>
            </w:r>
          </w:p>
        </w:tc>
        <w:tc>
          <w:tcPr>
            <w:tcW w:w="809" w:type="dxa"/>
            <w:tcBorders>
              <w:top w:val="nil"/>
              <w:left w:val="nil"/>
              <w:bottom w:val="dashed" w:sz="8" w:space="0" w:color="FFFFFF"/>
              <w:right w:val="dashed" w:sz="8" w:space="0" w:color="FFFFFF"/>
            </w:tcBorders>
            <w:shd w:val="clear" w:color="auto" w:fill="auto"/>
            <w:noWrap/>
          </w:tcPr>
          <w:p w14:paraId="4642C935" w14:textId="72DC0C9C" w:rsidR="00622474" w:rsidRPr="00FB746B" w:rsidRDefault="00D75EBC" w:rsidP="002A2B93">
            <w:pPr>
              <w:spacing w:before="0"/>
              <w:jc w:val="center"/>
              <w:rPr>
                <w:rFonts w:cs="Arial"/>
                <w:sz w:val="18"/>
                <w:szCs w:val="18"/>
              </w:rPr>
            </w:pPr>
            <w:r>
              <w:rPr>
                <w:rFonts w:cs="Arial"/>
                <w:color w:val="000000"/>
                <w:sz w:val="18"/>
                <w:szCs w:val="18"/>
              </w:rPr>
              <w:t>84</w:t>
            </w:r>
          </w:p>
        </w:tc>
        <w:tc>
          <w:tcPr>
            <w:tcW w:w="809" w:type="dxa"/>
            <w:tcBorders>
              <w:top w:val="nil"/>
              <w:left w:val="nil"/>
              <w:bottom w:val="dashed" w:sz="8" w:space="0" w:color="FFFFFF"/>
              <w:right w:val="dashed" w:sz="8" w:space="0" w:color="FFFFFF"/>
            </w:tcBorders>
            <w:shd w:val="clear" w:color="auto" w:fill="auto"/>
            <w:noWrap/>
            <w:vAlign w:val="center"/>
            <w:hideMark/>
          </w:tcPr>
          <w:p w14:paraId="0B2DE108" w14:textId="5BD67D2B" w:rsidR="00622474" w:rsidRPr="00FB746B" w:rsidRDefault="00622474" w:rsidP="002A2B93">
            <w:pPr>
              <w:spacing w:before="0"/>
              <w:jc w:val="center"/>
              <w:rPr>
                <w:rFonts w:cs="Arial"/>
                <w:sz w:val="18"/>
                <w:szCs w:val="18"/>
              </w:rPr>
            </w:pPr>
            <w:r w:rsidRPr="00FB746B">
              <w:rPr>
                <w:rFonts w:cs="Arial"/>
                <w:sz w:val="18"/>
                <w:szCs w:val="18"/>
              </w:rPr>
              <w:t>80</w:t>
            </w:r>
          </w:p>
        </w:tc>
        <w:tc>
          <w:tcPr>
            <w:tcW w:w="809" w:type="dxa"/>
            <w:tcBorders>
              <w:top w:val="nil"/>
              <w:left w:val="nil"/>
              <w:bottom w:val="dashed" w:sz="8" w:space="0" w:color="FFFFFF"/>
              <w:right w:val="dashed" w:sz="8" w:space="0" w:color="FFFFFF"/>
            </w:tcBorders>
            <w:shd w:val="clear" w:color="auto" w:fill="auto"/>
            <w:noWrap/>
            <w:vAlign w:val="center"/>
            <w:hideMark/>
          </w:tcPr>
          <w:p w14:paraId="7A1E9D29" w14:textId="4E8CC026" w:rsidR="00622474" w:rsidRPr="00FB746B" w:rsidRDefault="00622474" w:rsidP="002A2B93">
            <w:pPr>
              <w:spacing w:before="0"/>
              <w:jc w:val="center"/>
              <w:rPr>
                <w:rFonts w:cs="Arial"/>
                <w:sz w:val="18"/>
                <w:szCs w:val="18"/>
              </w:rPr>
            </w:pPr>
            <w:r w:rsidRPr="00FB746B">
              <w:rPr>
                <w:rFonts w:cs="Arial"/>
                <w:sz w:val="18"/>
                <w:szCs w:val="18"/>
              </w:rPr>
              <w:t>89</w:t>
            </w:r>
          </w:p>
        </w:tc>
        <w:tc>
          <w:tcPr>
            <w:tcW w:w="809" w:type="dxa"/>
            <w:tcBorders>
              <w:top w:val="nil"/>
              <w:left w:val="nil"/>
              <w:bottom w:val="dashed" w:sz="8" w:space="0" w:color="FFFFFF"/>
              <w:right w:val="dashed" w:sz="8" w:space="0" w:color="FFFFFF"/>
            </w:tcBorders>
            <w:shd w:val="clear" w:color="auto" w:fill="auto"/>
            <w:noWrap/>
            <w:vAlign w:val="center"/>
            <w:hideMark/>
          </w:tcPr>
          <w:p w14:paraId="03802303" w14:textId="08B4505E" w:rsidR="00622474" w:rsidRPr="00FB746B" w:rsidRDefault="00622474" w:rsidP="002A2B93">
            <w:pPr>
              <w:spacing w:before="0"/>
              <w:jc w:val="center"/>
              <w:rPr>
                <w:rFonts w:cs="Arial"/>
                <w:sz w:val="18"/>
                <w:szCs w:val="18"/>
              </w:rPr>
            </w:pPr>
            <w:r w:rsidRPr="00FB746B">
              <w:rPr>
                <w:rFonts w:cs="Arial"/>
                <w:sz w:val="18"/>
                <w:szCs w:val="18"/>
              </w:rPr>
              <w:t>100</w:t>
            </w:r>
          </w:p>
        </w:tc>
        <w:tc>
          <w:tcPr>
            <w:tcW w:w="809" w:type="dxa"/>
            <w:tcBorders>
              <w:top w:val="nil"/>
              <w:left w:val="nil"/>
              <w:bottom w:val="dashed" w:sz="8" w:space="0" w:color="FFFFFF"/>
              <w:right w:val="dashed" w:sz="8" w:space="0" w:color="FFFFFF"/>
            </w:tcBorders>
            <w:shd w:val="clear" w:color="auto" w:fill="auto"/>
            <w:noWrap/>
            <w:vAlign w:val="center"/>
            <w:hideMark/>
          </w:tcPr>
          <w:p w14:paraId="65CBD9F8" w14:textId="13C69388" w:rsidR="00622474" w:rsidRPr="00FB746B" w:rsidRDefault="000B487E" w:rsidP="002A2B93">
            <w:pPr>
              <w:spacing w:before="0"/>
              <w:jc w:val="center"/>
              <w:rPr>
                <w:rFonts w:cs="Arial"/>
                <w:sz w:val="18"/>
                <w:szCs w:val="18"/>
              </w:rPr>
            </w:pPr>
            <w:r w:rsidRPr="00FB746B">
              <w:rPr>
                <w:rFonts w:cs="Arial"/>
                <w:color w:val="000000"/>
                <w:sz w:val="18"/>
                <w:szCs w:val="18"/>
              </w:rPr>
              <w:t>95</w:t>
            </w:r>
          </w:p>
        </w:tc>
        <w:tc>
          <w:tcPr>
            <w:tcW w:w="809" w:type="dxa"/>
            <w:tcBorders>
              <w:top w:val="nil"/>
              <w:left w:val="nil"/>
              <w:bottom w:val="dashed" w:sz="8" w:space="0" w:color="FFFFFF"/>
              <w:right w:val="dashed" w:sz="8" w:space="0" w:color="FFFFFF"/>
            </w:tcBorders>
            <w:shd w:val="clear" w:color="auto" w:fill="auto"/>
            <w:noWrap/>
            <w:vAlign w:val="center"/>
            <w:hideMark/>
          </w:tcPr>
          <w:p w14:paraId="5875DB8E" w14:textId="6F1ADAF0" w:rsidR="00622474" w:rsidRPr="00FB746B" w:rsidRDefault="00622474" w:rsidP="002A2B93">
            <w:pPr>
              <w:spacing w:before="0"/>
              <w:jc w:val="center"/>
              <w:rPr>
                <w:rFonts w:cs="Arial"/>
                <w:sz w:val="18"/>
                <w:szCs w:val="18"/>
              </w:rPr>
            </w:pPr>
            <w:r w:rsidRPr="00FB746B">
              <w:rPr>
                <w:rFonts w:cs="Arial"/>
                <w:sz w:val="18"/>
                <w:szCs w:val="18"/>
              </w:rPr>
              <w:t>88</w:t>
            </w:r>
          </w:p>
        </w:tc>
        <w:tc>
          <w:tcPr>
            <w:tcW w:w="702" w:type="dxa"/>
            <w:tcBorders>
              <w:top w:val="nil"/>
              <w:left w:val="nil"/>
              <w:bottom w:val="dashed" w:sz="8" w:space="0" w:color="FFFFFF"/>
              <w:right w:val="dashed" w:sz="8" w:space="0" w:color="FFFFFF"/>
            </w:tcBorders>
            <w:shd w:val="clear" w:color="auto" w:fill="auto"/>
            <w:noWrap/>
            <w:vAlign w:val="center"/>
            <w:hideMark/>
          </w:tcPr>
          <w:p w14:paraId="3C74B5F8" w14:textId="41925A99" w:rsidR="00622474" w:rsidRPr="00FB746B" w:rsidRDefault="00622474" w:rsidP="002A2B93">
            <w:pPr>
              <w:spacing w:before="0"/>
              <w:jc w:val="center"/>
              <w:rPr>
                <w:rFonts w:cs="Arial"/>
                <w:sz w:val="18"/>
                <w:szCs w:val="18"/>
              </w:rPr>
            </w:pPr>
            <w:r w:rsidRPr="00FB746B">
              <w:rPr>
                <w:rFonts w:cs="Arial"/>
                <w:sz w:val="18"/>
                <w:szCs w:val="18"/>
              </w:rPr>
              <w:t>83</w:t>
            </w:r>
          </w:p>
        </w:tc>
        <w:tc>
          <w:tcPr>
            <w:tcW w:w="993" w:type="dxa"/>
            <w:tcBorders>
              <w:top w:val="nil"/>
              <w:left w:val="nil"/>
              <w:bottom w:val="dashed" w:sz="8" w:space="0" w:color="FFFFFF"/>
              <w:right w:val="dashed" w:sz="8" w:space="0" w:color="FFFFFF"/>
            </w:tcBorders>
            <w:shd w:val="clear" w:color="auto" w:fill="auto"/>
            <w:noWrap/>
            <w:vAlign w:val="center"/>
            <w:hideMark/>
          </w:tcPr>
          <w:p w14:paraId="6475CDB3" w14:textId="26AA73A7" w:rsidR="00622474" w:rsidRPr="00FB746B" w:rsidRDefault="00622474" w:rsidP="002A2B93">
            <w:pPr>
              <w:spacing w:before="0"/>
              <w:jc w:val="center"/>
              <w:rPr>
                <w:rFonts w:cs="Arial"/>
                <w:sz w:val="18"/>
                <w:szCs w:val="18"/>
              </w:rPr>
            </w:pPr>
            <w:r w:rsidRPr="00FB746B">
              <w:rPr>
                <w:rFonts w:cs="Arial"/>
                <w:sz w:val="18"/>
                <w:szCs w:val="18"/>
              </w:rPr>
              <w:t>97</w:t>
            </w:r>
          </w:p>
        </w:tc>
        <w:tc>
          <w:tcPr>
            <w:tcW w:w="732" w:type="dxa"/>
            <w:tcBorders>
              <w:top w:val="nil"/>
              <w:left w:val="nil"/>
              <w:bottom w:val="dashed" w:sz="8" w:space="0" w:color="FFFFFF"/>
              <w:right w:val="dashed" w:sz="8" w:space="0" w:color="FFFFFF"/>
            </w:tcBorders>
            <w:shd w:val="clear" w:color="auto" w:fill="auto"/>
            <w:noWrap/>
            <w:vAlign w:val="center"/>
            <w:hideMark/>
          </w:tcPr>
          <w:p w14:paraId="1661275E" w14:textId="74239FDD" w:rsidR="00622474" w:rsidRPr="00FB746B" w:rsidRDefault="00622474" w:rsidP="002A2B93">
            <w:pPr>
              <w:spacing w:before="0"/>
              <w:jc w:val="center"/>
              <w:rPr>
                <w:rFonts w:cs="Arial"/>
                <w:sz w:val="18"/>
                <w:szCs w:val="18"/>
              </w:rPr>
            </w:pPr>
            <w:r w:rsidRPr="00FB746B">
              <w:rPr>
                <w:rFonts w:cs="Arial"/>
                <w:sz w:val="18"/>
                <w:szCs w:val="18"/>
              </w:rPr>
              <w:t>80</w:t>
            </w:r>
          </w:p>
        </w:tc>
      </w:tr>
      <w:tr w:rsidR="00622474" w:rsidRPr="00FB746B" w14:paraId="2D7E370E"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553273FE" w14:textId="77777777" w:rsidR="00622474" w:rsidRPr="00FB746B" w:rsidRDefault="00622474" w:rsidP="00622474">
            <w:pPr>
              <w:spacing w:before="0"/>
              <w:jc w:val="left"/>
              <w:rPr>
                <w:rFonts w:cs="Arial"/>
                <w:color w:val="000000"/>
                <w:sz w:val="18"/>
                <w:szCs w:val="18"/>
              </w:rPr>
            </w:pPr>
            <w:r w:rsidRPr="00FB746B">
              <w:rPr>
                <w:rFonts w:cs="Arial"/>
                <w:color w:val="000000"/>
                <w:sz w:val="18"/>
                <w:szCs w:val="18"/>
              </w:rPr>
              <w:t>High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0B98ACFF" w14:textId="42FB3956" w:rsidR="00622474" w:rsidRPr="00FB746B" w:rsidRDefault="00622474" w:rsidP="002A2B93">
            <w:pPr>
              <w:spacing w:before="0"/>
              <w:jc w:val="center"/>
              <w:rPr>
                <w:rFonts w:cs="Arial"/>
                <w:color w:val="000000"/>
                <w:sz w:val="18"/>
                <w:szCs w:val="18"/>
              </w:rPr>
            </w:pPr>
            <w:r w:rsidRPr="00FB746B">
              <w:rPr>
                <w:rFonts w:cs="Arial"/>
                <w:color w:val="000000"/>
                <w:sz w:val="18"/>
                <w:szCs w:val="18"/>
              </w:rPr>
              <w:t>83</w:t>
            </w:r>
          </w:p>
        </w:tc>
        <w:tc>
          <w:tcPr>
            <w:tcW w:w="809" w:type="dxa"/>
            <w:tcBorders>
              <w:top w:val="nil"/>
              <w:left w:val="nil"/>
              <w:bottom w:val="dashed" w:sz="8" w:space="0" w:color="FFFFFF"/>
              <w:right w:val="dashed" w:sz="8" w:space="0" w:color="FFFFFF"/>
            </w:tcBorders>
            <w:shd w:val="clear" w:color="000000" w:fill="EFD3D2"/>
            <w:noWrap/>
          </w:tcPr>
          <w:p w14:paraId="7B315E51" w14:textId="3977510C" w:rsidR="00622474" w:rsidRPr="00FB746B" w:rsidRDefault="00D75EBC" w:rsidP="002A2B93">
            <w:pPr>
              <w:spacing w:before="0"/>
              <w:jc w:val="center"/>
              <w:rPr>
                <w:rFonts w:cs="Arial"/>
                <w:color w:val="000000"/>
                <w:sz w:val="18"/>
                <w:szCs w:val="18"/>
              </w:rPr>
            </w:pPr>
            <w:r>
              <w:rPr>
                <w:rFonts w:cs="Arial"/>
                <w:color w:val="000000"/>
                <w:sz w:val="18"/>
                <w:szCs w:val="18"/>
              </w:rPr>
              <w:t>84</w:t>
            </w:r>
          </w:p>
        </w:tc>
        <w:tc>
          <w:tcPr>
            <w:tcW w:w="809" w:type="dxa"/>
            <w:tcBorders>
              <w:top w:val="nil"/>
              <w:left w:val="nil"/>
              <w:bottom w:val="dashed" w:sz="8" w:space="0" w:color="FFFFFF"/>
              <w:right w:val="dashed" w:sz="8" w:space="0" w:color="FFFFFF"/>
            </w:tcBorders>
            <w:shd w:val="clear" w:color="000000" w:fill="EFD3D2"/>
            <w:noWrap/>
            <w:vAlign w:val="center"/>
            <w:hideMark/>
          </w:tcPr>
          <w:p w14:paraId="2FFC45A9" w14:textId="6C6DDB18"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c>
          <w:tcPr>
            <w:tcW w:w="809" w:type="dxa"/>
            <w:tcBorders>
              <w:top w:val="nil"/>
              <w:left w:val="nil"/>
              <w:bottom w:val="dashed" w:sz="8" w:space="0" w:color="FFFFFF"/>
              <w:right w:val="dashed" w:sz="8" w:space="0" w:color="FFFFFF"/>
            </w:tcBorders>
            <w:shd w:val="clear" w:color="000000" w:fill="EFD3D2"/>
            <w:noWrap/>
            <w:vAlign w:val="center"/>
            <w:hideMark/>
          </w:tcPr>
          <w:p w14:paraId="7C091E29" w14:textId="4D7B1C75" w:rsidR="00622474" w:rsidRPr="00FB746B" w:rsidRDefault="00622474" w:rsidP="002A2B93">
            <w:pPr>
              <w:spacing w:before="0"/>
              <w:jc w:val="center"/>
              <w:rPr>
                <w:rFonts w:cs="Arial"/>
                <w:color w:val="000000"/>
                <w:sz w:val="18"/>
                <w:szCs w:val="18"/>
              </w:rPr>
            </w:pPr>
            <w:r w:rsidRPr="00FB746B">
              <w:rPr>
                <w:rFonts w:cs="Arial"/>
                <w:color w:val="000000"/>
                <w:sz w:val="18"/>
                <w:szCs w:val="18"/>
              </w:rPr>
              <w:t>89</w:t>
            </w:r>
          </w:p>
        </w:tc>
        <w:tc>
          <w:tcPr>
            <w:tcW w:w="809" w:type="dxa"/>
            <w:tcBorders>
              <w:top w:val="nil"/>
              <w:left w:val="nil"/>
              <w:bottom w:val="dashed" w:sz="8" w:space="0" w:color="FFFFFF"/>
              <w:right w:val="dashed" w:sz="8" w:space="0" w:color="FFFFFF"/>
            </w:tcBorders>
            <w:shd w:val="clear" w:color="000000" w:fill="EFD3D2"/>
            <w:noWrap/>
            <w:vAlign w:val="center"/>
            <w:hideMark/>
          </w:tcPr>
          <w:p w14:paraId="04D70CD3" w14:textId="06FF8E59"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4913ACEE" w14:textId="07DA0210" w:rsidR="00622474" w:rsidRPr="00FB746B" w:rsidRDefault="000B487E" w:rsidP="002A2B93">
            <w:pPr>
              <w:spacing w:before="0"/>
              <w:jc w:val="center"/>
              <w:rPr>
                <w:rFonts w:cs="Arial"/>
                <w:color w:val="000000"/>
                <w:sz w:val="18"/>
                <w:szCs w:val="18"/>
              </w:rPr>
            </w:pPr>
            <w:r w:rsidRPr="00FB746B">
              <w:rPr>
                <w:rFonts w:cs="Arial"/>
                <w:color w:val="000000"/>
                <w:sz w:val="18"/>
                <w:szCs w:val="18"/>
              </w:rPr>
              <w:t>95</w:t>
            </w:r>
          </w:p>
        </w:tc>
        <w:tc>
          <w:tcPr>
            <w:tcW w:w="809" w:type="dxa"/>
            <w:tcBorders>
              <w:top w:val="nil"/>
              <w:left w:val="nil"/>
              <w:bottom w:val="dashed" w:sz="8" w:space="0" w:color="FFFFFF"/>
              <w:right w:val="dashed" w:sz="8" w:space="0" w:color="FFFFFF"/>
            </w:tcBorders>
            <w:shd w:val="clear" w:color="000000" w:fill="EFD3D2"/>
            <w:noWrap/>
            <w:vAlign w:val="center"/>
            <w:hideMark/>
          </w:tcPr>
          <w:p w14:paraId="12DDFBBB" w14:textId="6C3A47F7" w:rsidR="00622474" w:rsidRPr="00FB746B" w:rsidRDefault="00622474" w:rsidP="002A2B93">
            <w:pPr>
              <w:spacing w:before="0"/>
              <w:jc w:val="center"/>
              <w:rPr>
                <w:rFonts w:cs="Arial"/>
                <w:color w:val="000000"/>
                <w:sz w:val="18"/>
                <w:szCs w:val="18"/>
              </w:rPr>
            </w:pPr>
            <w:r w:rsidRPr="00FB746B">
              <w:rPr>
                <w:rFonts w:cs="Arial"/>
                <w:color w:val="000000"/>
                <w:sz w:val="18"/>
                <w:szCs w:val="18"/>
              </w:rPr>
              <w:t>88</w:t>
            </w:r>
          </w:p>
        </w:tc>
        <w:tc>
          <w:tcPr>
            <w:tcW w:w="702" w:type="dxa"/>
            <w:tcBorders>
              <w:top w:val="nil"/>
              <w:left w:val="nil"/>
              <w:bottom w:val="dashed" w:sz="8" w:space="0" w:color="FFFFFF"/>
              <w:right w:val="dashed" w:sz="8" w:space="0" w:color="FFFFFF"/>
            </w:tcBorders>
            <w:shd w:val="clear" w:color="000000" w:fill="EFD3D2"/>
            <w:noWrap/>
            <w:vAlign w:val="center"/>
            <w:hideMark/>
          </w:tcPr>
          <w:p w14:paraId="690F0388" w14:textId="12E7C352" w:rsidR="00622474" w:rsidRPr="00FB746B" w:rsidRDefault="00622474" w:rsidP="002A2B93">
            <w:pPr>
              <w:spacing w:before="0"/>
              <w:jc w:val="center"/>
              <w:rPr>
                <w:rFonts w:cs="Arial"/>
                <w:color w:val="000000"/>
                <w:sz w:val="18"/>
                <w:szCs w:val="18"/>
              </w:rPr>
            </w:pPr>
            <w:r w:rsidRPr="00FB746B">
              <w:rPr>
                <w:rFonts w:cs="Arial"/>
                <w:color w:val="000000"/>
                <w:sz w:val="18"/>
                <w:szCs w:val="18"/>
              </w:rPr>
              <w:t>83</w:t>
            </w:r>
          </w:p>
        </w:tc>
        <w:tc>
          <w:tcPr>
            <w:tcW w:w="993" w:type="dxa"/>
            <w:tcBorders>
              <w:top w:val="nil"/>
              <w:left w:val="nil"/>
              <w:bottom w:val="dashed" w:sz="8" w:space="0" w:color="FFFFFF"/>
              <w:right w:val="dashed" w:sz="8" w:space="0" w:color="FFFFFF"/>
            </w:tcBorders>
            <w:shd w:val="clear" w:color="000000" w:fill="EFD3D2"/>
            <w:noWrap/>
            <w:vAlign w:val="center"/>
            <w:hideMark/>
          </w:tcPr>
          <w:p w14:paraId="00076701" w14:textId="603CEC8A" w:rsidR="00622474" w:rsidRPr="00FB746B" w:rsidRDefault="00622474" w:rsidP="002A2B93">
            <w:pPr>
              <w:spacing w:before="0"/>
              <w:jc w:val="center"/>
              <w:rPr>
                <w:rFonts w:cs="Arial"/>
                <w:color w:val="000000"/>
                <w:sz w:val="18"/>
                <w:szCs w:val="18"/>
              </w:rPr>
            </w:pPr>
            <w:r w:rsidRPr="00FB746B">
              <w:rPr>
                <w:rFonts w:cs="Arial"/>
                <w:color w:val="000000"/>
                <w:sz w:val="18"/>
                <w:szCs w:val="18"/>
              </w:rPr>
              <w:t>97</w:t>
            </w:r>
          </w:p>
        </w:tc>
        <w:tc>
          <w:tcPr>
            <w:tcW w:w="732" w:type="dxa"/>
            <w:tcBorders>
              <w:top w:val="nil"/>
              <w:left w:val="nil"/>
              <w:bottom w:val="dashed" w:sz="8" w:space="0" w:color="FFFFFF"/>
              <w:right w:val="dashed" w:sz="8" w:space="0" w:color="FFFFFF"/>
            </w:tcBorders>
            <w:shd w:val="clear" w:color="000000" w:fill="EFD3D2"/>
            <w:noWrap/>
            <w:vAlign w:val="center"/>
            <w:hideMark/>
          </w:tcPr>
          <w:p w14:paraId="370748BC" w14:textId="1C4B5C7A"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r>
      <w:tr w:rsidR="00FB746B" w:rsidRPr="00FB746B" w14:paraId="20BF044E" w14:textId="77777777" w:rsidTr="002A2B93">
        <w:trPr>
          <w:trHeight w:hRule="exact" w:val="307"/>
        </w:trPr>
        <w:tc>
          <w:tcPr>
            <w:tcW w:w="9658" w:type="dxa"/>
            <w:gridSpan w:val="11"/>
            <w:tcBorders>
              <w:top w:val="nil"/>
              <w:left w:val="dashed" w:sz="8" w:space="0" w:color="FFFFFF"/>
              <w:bottom w:val="dashed" w:sz="8" w:space="0" w:color="FFFFFF"/>
              <w:right w:val="dashed" w:sz="8" w:space="0" w:color="FFFFFF"/>
            </w:tcBorders>
            <w:shd w:val="clear" w:color="000000" w:fill="808080"/>
            <w:noWrap/>
            <w:vAlign w:val="center"/>
            <w:hideMark/>
          </w:tcPr>
          <w:p w14:paraId="0380C464" w14:textId="77777777" w:rsidR="00FB746B" w:rsidRPr="00FB746B" w:rsidRDefault="00FB746B" w:rsidP="002A2B93">
            <w:pPr>
              <w:spacing w:before="0"/>
              <w:jc w:val="center"/>
              <w:rPr>
                <w:rFonts w:cs="Arial"/>
                <w:b/>
                <w:bCs/>
                <w:color w:val="FFFFFF"/>
                <w:sz w:val="18"/>
                <w:szCs w:val="18"/>
              </w:rPr>
            </w:pPr>
            <w:r w:rsidRPr="00FB746B">
              <w:rPr>
                <w:rFonts w:cs="Arial"/>
                <w:b/>
                <w:bCs/>
                <w:color w:val="FFFFFF" w:themeColor="background1"/>
                <w:sz w:val="18"/>
                <w:szCs w:val="16"/>
              </w:rPr>
              <w:t>130 weeks of incapacity</w:t>
            </w:r>
          </w:p>
          <w:p w14:paraId="0A0B2E21" w14:textId="4C6D0AD6" w:rsidR="00FB746B" w:rsidRPr="00FB746B" w:rsidRDefault="00FB746B" w:rsidP="002A2B93">
            <w:pPr>
              <w:spacing w:before="0"/>
              <w:jc w:val="center"/>
              <w:rPr>
                <w:rFonts w:cs="Arial"/>
                <w:b/>
                <w:bCs/>
                <w:color w:val="FFFFFF"/>
                <w:sz w:val="18"/>
                <w:szCs w:val="18"/>
              </w:rPr>
            </w:pPr>
          </w:p>
          <w:p w14:paraId="43B1FA1C" w14:textId="0E459CDF" w:rsidR="00FB746B" w:rsidRPr="00FB746B" w:rsidRDefault="00FB746B" w:rsidP="002A2B93">
            <w:pPr>
              <w:spacing w:before="0"/>
              <w:jc w:val="center"/>
              <w:rPr>
                <w:rFonts w:cs="Arial"/>
                <w:b/>
                <w:bCs/>
                <w:color w:val="FFFFFF"/>
                <w:sz w:val="18"/>
                <w:szCs w:val="18"/>
              </w:rPr>
            </w:pPr>
          </w:p>
          <w:p w14:paraId="149E39F1" w14:textId="1F9FC46C" w:rsidR="00FB746B" w:rsidRPr="00FB746B" w:rsidRDefault="00FB746B" w:rsidP="002A2B93">
            <w:pPr>
              <w:spacing w:before="0"/>
              <w:jc w:val="center"/>
              <w:rPr>
                <w:rFonts w:cs="Arial"/>
                <w:b/>
                <w:bCs/>
                <w:color w:val="FFFFFF"/>
                <w:sz w:val="18"/>
                <w:szCs w:val="18"/>
              </w:rPr>
            </w:pPr>
          </w:p>
          <w:p w14:paraId="7BA81169" w14:textId="4F3F198F" w:rsidR="00FB746B" w:rsidRPr="00FB746B" w:rsidRDefault="00FB746B" w:rsidP="002A2B93">
            <w:pPr>
              <w:spacing w:before="0"/>
              <w:jc w:val="center"/>
              <w:rPr>
                <w:rFonts w:cs="Arial"/>
                <w:b/>
                <w:bCs/>
                <w:color w:val="FFFFFF"/>
                <w:sz w:val="18"/>
                <w:szCs w:val="18"/>
              </w:rPr>
            </w:pPr>
          </w:p>
          <w:p w14:paraId="483A313F" w14:textId="42C450E0" w:rsidR="00FB746B" w:rsidRPr="00FB746B" w:rsidRDefault="00FB746B" w:rsidP="002A2B93">
            <w:pPr>
              <w:spacing w:before="0"/>
              <w:jc w:val="center"/>
              <w:rPr>
                <w:rFonts w:cs="Arial"/>
                <w:b/>
                <w:bCs/>
                <w:color w:val="FFFFFF"/>
                <w:sz w:val="18"/>
                <w:szCs w:val="18"/>
              </w:rPr>
            </w:pPr>
          </w:p>
          <w:p w14:paraId="44F0D104" w14:textId="005F779F" w:rsidR="00FB746B" w:rsidRPr="00FB746B" w:rsidRDefault="00FB746B" w:rsidP="002A2B93">
            <w:pPr>
              <w:spacing w:before="0"/>
              <w:jc w:val="center"/>
              <w:rPr>
                <w:rFonts w:cs="Arial"/>
                <w:b/>
                <w:bCs/>
                <w:color w:val="FFFFFF"/>
                <w:sz w:val="18"/>
                <w:szCs w:val="18"/>
              </w:rPr>
            </w:pPr>
          </w:p>
          <w:p w14:paraId="081C194B" w14:textId="697CC4DC" w:rsidR="00FB746B" w:rsidRPr="00FB746B" w:rsidRDefault="00FB746B" w:rsidP="002A2B93">
            <w:pPr>
              <w:spacing w:before="0"/>
              <w:jc w:val="center"/>
              <w:rPr>
                <w:rFonts w:cs="Arial"/>
                <w:b/>
                <w:bCs/>
                <w:color w:val="FFFFFF"/>
                <w:sz w:val="18"/>
                <w:szCs w:val="18"/>
              </w:rPr>
            </w:pPr>
          </w:p>
          <w:p w14:paraId="0E949A07" w14:textId="72990B4E" w:rsidR="00FB746B" w:rsidRPr="00FB746B" w:rsidRDefault="00FB746B" w:rsidP="002A2B93">
            <w:pPr>
              <w:spacing w:before="0"/>
              <w:jc w:val="center"/>
              <w:rPr>
                <w:rFonts w:cs="Arial"/>
                <w:b/>
                <w:bCs/>
                <w:color w:val="FFFFFF"/>
                <w:sz w:val="18"/>
                <w:szCs w:val="18"/>
              </w:rPr>
            </w:pPr>
          </w:p>
          <w:p w14:paraId="1D1A9B28" w14:textId="7453A053" w:rsidR="00FB746B" w:rsidRPr="00FB746B" w:rsidRDefault="00FB746B" w:rsidP="002A2B93">
            <w:pPr>
              <w:spacing w:before="0"/>
              <w:jc w:val="center"/>
              <w:rPr>
                <w:rFonts w:cs="Arial"/>
                <w:b/>
                <w:bCs/>
                <w:color w:val="FFFFFF"/>
                <w:sz w:val="18"/>
                <w:szCs w:val="18"/>
              </w:rPr>
            </w:pPr>
          </w:p>
        </w:tc>
      </w:tr>
      <w:tr w:rsidR="00622474" w:rsidRPr="00FB746B" w14:paraId="708AA5A7"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5B14F5B5" w14:textId="77777777" w:rsidR="00622474" w:rsidRPr="00FB746B" w:rsidRDefault="00622474" w:rsidP="00622474">
            <w:pPr>
              <w:spacing w:before="0"/>
              <w:jc w:val="left"/>
              <w:rPr>
                <w:rFonts w:cs="Arial"/>
                <w:color w:val="000000"/>
                <w:sz w:val="18"/>
                <w:szCs w:val="18"/>
              </w:rPr>
            </w:pPr>
            <w:r w:rsidRPr="00FB746B">
              <w:rPr>
                <w:rFonts w:cs="Arial"/>
                <w:color w:val="000000"/>
                <w:sz w:val="18"/>
                <w:szCs w:val="18"/>
              </w:rPr>
              <w:t>Low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4E2304A2" w14:textId="12276ED8" w:rsidR="00622474" w:rsidRPr="00FB746B" w:rsidRDefault="00622474" w:rsidP="002A2B93">
            <w:pPr>
              <w:spacing w:before="0"/>
              <w:jc w:val="center"/>
              <w:rPr>
                <w:rFonts w:cs="Arial"/>
                <w:color w:val="000000"/>
                <w:sz w:val="18"/>
                <w:szCs w:val="18"/>
              </w:rPr>
            </w:pPr>
            <w:r w:rsidRPr="00FB746B">
              <w:rPr>
                <w:rFonts w:cs="Arial"/>
                <w:color w:val="000000"/>
                <w:sz w:val="18"/>
                <w:szCs w:val="18"/>
              </w:rPr>
              <w:t>82</w:t>
            </w:r>
          </w:p>
        </w:tc>
        <w:tc>
          <w:tcPr>
            <w:tcW w:w="809" w:type="dxa"/>
            <w:tcBorders>
              <w:top w:val="nil"/>
              <w:left w:val="nil"/>
              <w:bottom w:val="dashed" w:sz="8" w:space="0" w:color="FFFFFF"/>
              <w:right w:val="dashed" w:sz="8" w:space="0" w:color="FFFFFF"/>
            </w:tcBorders>
            <w:shd w:val="clear" w:color="000000" w:fill="EFD3D2"/>
            <w:noWrap/>
          </w:tcPr>
          <w:p w14:paraId="30759990" w14:textId="211A04D6" w:rsidR="00622474" w:rsidRPr="00FB746B" w:rsidRDefault="00D75EBC" w:rsidP="002A2B93">
            <w:pPr>
              <w:spacing w:before="0"/>
              <w:jc w:val="center"/>
              <w:rPr>
                <w:rFonts w:cs="Arial"/>
                <w:color w:val="000000"/>
                <w:sz w:val="18"/>
                <w:szCs w:val="18"/>
              </w:rPr>
            </w:pPr>
            <w:r>
              <w:rPr>
                <w:rFonts w:cs="Arial"/>
                <w:color w:val="000000"/>
                <w:sz w:val="18"/>
                <w:szCs w:val="18"/>
              </w:rPr>
              <w:t>82</w:t>
            </w:r>
          </w:p>
        </w:tc>
        <w:tc>
          <w:tcPr>
            <w:tcW w:w="809" w:type="dxa"/>
            <w:tcBorders>
              <w:top w:val="nil"/>
              <w:left w:val="nil"/>
              <w:bottom w:val="dashed" w:sz="8" w:space="0" w:color="FFFFFF"/>
              <w:right w:val="dashed" w:sz="8" w:space="0" w:color="FFFFFF"/>
            </w:tcBorders>
            <w:shd w:val="clear" w:color="000000" w:fill="EFD3D2"/>
            <w:noWrap/>
            <w:vAlign w:val="center"/>
            <w:hideMark/>
          </w:tcPr>
          <w:p w14:paraId="2A90F391" w14:textId="0DD402A1" w:rsidR="00622474" w:rsidRPr="00FB746B" w:rsidRDefault="00622474" w:rsidP="002A2B93">
            <w:pPr>
              <w:spacing w:before="0"/>
              <w:jc w:val="center"/>
              <w:rPr>
                <w:rFonts w:cs="Arial"/>
                <w:color w:val="000000"/>
                <w:sz w:val="18"/>
                <w:szCs w:val="18"/>
              </w:rPr>
            </w:pPr>
            <w:r w:rsidRPr="00FB746B">
              <w:rPr>
                <w:rFonts w:cs="Arial"/>
                <w:color w:val="000000"/>
                <w:sz w:val="18"/>
                <w:szCs w:val="18"/>
              </w:rPr>
              <w:t>97</w:t>
            </w:r>
          </w:p>
        </w:tc>
        <w:tc>
          <w:tcPr>
            <w:tcW w:w="809" w:type="dxa"/>
            <w:tcBorders>
              <w:top w:val="nil"/>
              <w:left w:val="nil"/>
              <w:bottom w:val="dashed" w:sz="8" w:space="0" w:color="FFFFFF"/>
              <w:right w:val="dashed" w:sz="8" w:space="0" w:color="FFFFFF"/>
            </w:tcBorders>
            <w:shd w:val="clear" w:color="000000" w:fill="EFD3D2"/>
            <w:noWrap/>
            <w:vAlign w:val="center"/>
            <w:hideMark/>
          </w:tcPr>
          <w:p w14:paraId="15DCDBBE" w14:textId="197589C5" w:rsidR="00622474" w:rsidRPr="00FB746B" w:rsidRDefault="00622474" w:rsidP="002A2B93">
            <w:pPr>
              <w:spacing w:before="0"/>
              <w:jc w:val="center"/>
              <w:rPr>
                <w:rFonts w:cs="Arial"/>
                <w:color w:val="000000"/>
                <w:sz w:val="18"/>
                <w:szCs w:val="18"/>
              </w:rPr>
            </w:pPr>
            <w:r w:rsidRPr="00FB746B">
              <w:rPr>
                <w:rFonts w:cs="Arial"/>
                <w:color w:val="000000"/>
                <w:sz w:val="18"/>
                <w:szCs w:val="18"/>
              </w:rPr>
              <w:t>100</w:t>
            </w:r>
          </w:p>
        </w:tc>
        <w:tc>
          <w:tcPr>
            <w:tcW w:w="809" w:type="dxa"/>
            <w:tcBorders>
              <w:top w:val="nil"/>
              <w:left w:val="nil"/>
              <w:bottom w:val="dashed" w:sz="8" w:space="0" w:color="FFFFFF"/>
              <w:right w:val="dashed" w:sz="8" w:space="0" w:color="FFFFFF"/>
            </w:tcBorders>
            <w:shd w:val="clear" w:color="000000" w:fill="EFD3D2"/>
            <w:noWrap/>
            <w:vAlign w:val="center"/>
            <w:hideMark/>
          </w:tcPr>
          <w:p w14:paraId="54E6C83C" w14:textId="2BA74F5D" w:rsidR="00622474" w:rsidRPr="00FB746B" w:rsidRDefault="00622474" w:rsidP="002A2B93">
            <w:pPr>
              <w:spacing w:before="0"/>
              <w:jc w:val="center"/>
              <w:rPr>
                <w:rFonts w:cs="Arial"/>
                <w:color w:val="000000"/>
                <w:sz w:val="18"/>
                <w:szCs w:val="18"/>
              </w:rPr>
            </w:pPr>
            <w:r w:rsidRPr="00FB746B">
              <w:rPr>
                <w:rFonts w:cs="Arial"/>
                <w:color w:val="000000"/>
                <w:sz w:val="18"/>
                <w:szCs w:val="18"/>
              </w:rPr>
              <w:t>88</w:t>
            </w:r>
          </w:p>
        </w:tc>
        <w:tc>
          <w:tcPr>
            <w:tcW w:w="809" w:type="dxa"/>
            <w:tcBorders>
              <w:top w:val="nil"/>
              <w:left w:val="nil"/>
              <w:bottom w:val="dashed" w:sz="8" w:space="0" w:color="FFFFFF"/>
              <w:right w:val="dashed" w:sz="8" w:space="0" w:color="FFFFFF"/>
            </w:tcBorders>
            <w:shd w:val="clear" w:color="000000" w:fill="EFD3D2"/>
            <w:noWrap/>
            <w:vAlign w:val="center"/>
            <w:hideMark/>
          </w:tcPr>
          <w:p w14:paraId="349C9930" w14:textId="739B5A63" w:rsidR="00622474" w:rsidRPr="00FB746B" w:rsidRDefault="00622474" w:rsidP="002A2B93">
            <w:pPr>
              <w:spacing w:before="0"/>
              <w:jc w:val="center"/>
              <w:rPr>
                <w:rFonts w:cs="Arial"/>
                <w:color w:val="000000"/>
                <w:sz w:val="18"/>
                <w:szCs w:val="18"/>
              </w:rPr>
            </w:pPr>
            <w:r w:rsidRPr="00FB746B">
              <w:rPr>
                <w:rFonts w:cs="Arial"/>
                <w:color w:val="000000"/>
                <w:sz w:val="18"/>
                <w:szCs w:val="18"/>
              </w:rPr>
              <w:t>88</w:t>
            </w:r>
          </w:p>
        </w:tc>
        <w:tc>
          <w:tcPr>
            <w:tcW w:w="809" w:type="dxa"/>
            <w:tcBorders>
              <w:top w:val="nil"/>
              <w:left w:val="nil"/>
              <w:bottom w:val="dashed" w:sz="8" w:space="0" w:color="FFFFFF"/>
              <w:right w:val="dashed" w:sz="8" w:space="0" w:color="FFFFFF"/>
            </w:tcBorders>
            <w:shd w:val="clear" w:color="000000" w:fill="EFD3D2"/>
            <w:noWrap/>
            <w:vAlign w:val="center"/>
            <w:hideMark/>
          </w:tcPr>
          <w:p w14:paraId="76AD95C9" w14:textId="0A456E13" w:rsidR="00622474" w:rsidRPr="00FB746B" w:rsidRDefault="00622474" w:rsidP="002A2B93">
            <w:pPr>
              <w:spacing w:before="0"/>
              <w:jc w:val="center"/>
              <w:rPr>
                <w:rFonts w:cs="Arial"/>
                <w:color w:val="000000"/>
                <w:sz w:val="18"/>
                <w:szCs w:val="18"/>
              </w:rPr>
            </w:pPr>
            <w:r w:rsidRPr="00FB746B">
              <w:rPr>
                <w:rFonts w:cs="Arial"/>
                <w:color w:val="000000"/>
                <w:sz w:val="18"/>
                <w:szCs w:val="18"/>
              </w:rPr>
              <w:t>92</w:t>
            </w:r>
          </w:p>
        </w:tc>
        <w:tc>
          <w:tcPr>
            <w:tcW w:w="702" w:type="dxa"/>
            <w:tcBorders>
              <w:top w:val="nil"/>
              <w:left w:val="nil"/>
              <w:bottom w:val="dashed" w:sz="8" w:space="0" w:color="FFFFFF"/>
              <w:right w:val="dashed" w:sz="8" w:space="0" w:color="FFFFFF"/>
            </w:tcBorders>
            <w:shd w:val="clear" w:color="000000" w:fill="EFD3D2"/>
            <w:noWrap/>
            <w:vAlign w:val="center"/>
            <w:hideMark/>
          </w:tcPr>
          <w:p w14:paraId="7C582791" w14:textId="249C79B0" w:rsidR="00622474" w:rsidRPr="00FB746B" w:rsidRDefault="00622474" w:rsidP="002A2B93">
            <w:pPr>
              <w:spacing w:before="0"/>
              <w:jc w:val="center"/>
              <w:rPr>
                <w:rFonts w:cs="Arial"/>
                <w:color w:val="000000"/>
                <w:sz w:val="18"/>
                <w:szCs w:val="18"/>
              </w:rPr>
            </w:pPr>
            <w:r w:rsidRPr="00FB746B">
              <w:rPr>
                <w:rFonts w:cs="Arial"/>
                <w:color w:val="000000"/>
                <w:sz w:val="18"/>
                <w:szCs w:val="18"/>
              </w:rPr>
              <w:t>72</w:t>
            </w:r>
          </w:p>
        </w:tc>
        <w:tc>
          <w:tcPr>
            <w:tcW w:w="993" w:type="dxa"/>
            <w:tcBorders>
              <w:top w:val="nil"/>
              <w:left w:val="nil"/>
              <w:bottom w:val="dashed" w:sz="8" w:space="0" w:color="FFFFFF"/>
              <w:right w:val="dashed" w:sz="8" w:space="0" w:color="FFFFFF"/>
            </w:tcBorders>
            <w:shd w:val="clear" w:color="000000" w:fill="EFD3D2"/>
            <w:noWrap/>
            <w:vAlign w:val="center"/>
            <w:hideMark/>
          </w:tcPr>
          <w:p w14:paraId="5CF2E713" w14:textId="21F523EA" w:rsidR="00622474" w:rsidRPr="00FB746B" w:rsidRDefault="00622474" w:rsidP="002A2B93">
            <w:pPr>
              <w:spacing w:before="0"/>
              <w:jc w:val="center"/>
              <w:rPr>
                <w:rFonts w:cs="Arial"/>
                <w:color w:val="000000"/>
                <w:sz w:val="18"/>
                <w:szCs w:val="18"/>
              </w:rPr>
            </w:pPr>
            <w:r w:rsidRPr="00FB746B">
              <w:rPr>
                <w:rFonts w:cs="Arial"/>
                <w:color w:val="000000"/>
                <w:sz w:val="18"/>
                <w:szCs w:val="18"/>
              </w:rPr>
              <w:t>84</w:t>
            </w:r>
          </w:p>
        </w:tc>
        <w:tc>
          <w:tcPr>
            <w:tcW w:w="732" w:type="dxa"/>
            <w:tcBorders>
              <w:top w:val="nil"/>
              <w:left w:val="nil"/>
              <w:bottom w:val="dashed" w:sz="8" w:space="0" w:color="FFFFFF"/>
              <w:right w:val="dashed" w:sz="8" w:space="0" w:color="FFFFFF"/>
            </w:tcBorders>
            <w:shd w:val="clear" w:color="000000" w:fill="EFD3D2"/>
            <w:noWrap/>
            <w:vAlign w:val="center"/>
            <w:hideMark/>
          </w:tcPr>
          <w:p w14:paraId="6D97B86A" w14:textId="546F8CB7"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r>
      <w:tr w:rsidR="00622474" w:rsidRPr="00FB746B" w14:paraId="3BDDBF93"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auto" w:fill="auto"/>
            <w:noWrap/>
            <w:vAlign w:val="center"/>
            <w:hideMark/>
          </w:tcPr>
          <w:p w14:paraId="1201EE48" w14:textId="77777777" w:rsidR="00622474" w:rsidRPr="00FB746B" w:rsidRDefault="00622474" w:rsidP="00622474">
            <w:pPr>
              <w:spacing w:before="0"/>
              <w:jc w:val="left"/>
              <w:rPr>
                <w:rFonts w:cs="Arial"/>
                <w:sz w:val="18"/>
                <w:szCs w:val="18"/>
              </w:rPr>
            </w:pPr>
            <w:r w:rsidRPr="00FB746B">
              <w:rPr>
                <w:rFonts w:cs="Arial"/>
                <w:sz w:val="18"/>
                <w:szCs w:val="16"/>
              </w:rPr>
              <w:t>Middle income</w:t>
            </w:r>
          </w:p>
        </w:tc>
        <w:tc>
          <w:tcPr>
            <w:tcW w:w="808" w:type="dxa"/>
            <w:tcBorders>
              <w:top w:val="nil"/>
              <w:left w:val="nil"/>
              <w:bottom w:val="dashed" w:sz="8" w:space="0" w:color="FFFFFF"/>
              <w:right w:val="dashed" w:sz="8" w:space="0" w:color="FFFFFF"/>
            </w:tcBorders>
            <w:shd w:val="clear" w:color="auto" w:fill="auto"/>
            <w:noWrap/>
            <w:vAlign w:val="center"/>
            <w:hideMark/>
          </w:tcPr>
          <w:p w14:paraId="6F1F084F" w14:textId="567637F9" w:rsidR="00622474" w:rsidRPr="00FB746B" w:rsidRDefault="00622474" w:rsidP="002A2B93">
            <w:pPr>
              <w:spacing w:before="0"/>
              <w:jc w:val="center"/>
              <w:rPr>
                <w:rFonts w:cs="Arial"/>
                <w:sz w:val="18"/>
                <w:szCs w:val="18"/>
              </w:rPr>
            </w:pPr>
            <w:r w:rsidRPr="00FB746B">
              <w:rPr>
                <w:rFonts w:cs="Arial"/>
                <w:sz w:val="18"/>
                <w:szCs w:val="18"/>
              </w:rPr>
              <w:t>82</w:t>
            </w:r>
          </w:p>
        </w:tc>
        <w:tc>
          <w:tcPr>
            <w:tcW w:w="809" w:type="dxa"/>
            <w:tcBorders>
              <w:top w:val="nil"/>
              <w:left w:val="nil"/>
              <w:bottom w:val="dashed" w:sz="8" w:space="0" w:color="FFFFFF"/>
              <w:right w:val="dashed" w:sz="8" w:space="0" w:color="FFFFFF"/>
            </w:tcBorders>
            <w:shd w:val="clear" w:color="auto" w:fill="auto"/>
            <w:noWrap/>
          </w:tcPr>
          <w:p w14:paraId="148EBBD5" w14:textId="3F7CE887" w:rsidR="00622474" w:rsidRPr="00FB746B" w:rsidRDefault="00D75EBC" w:rsidP="002A2B93">
            <w:pPr>
              <w:spacing w:before="0"/>
              <w:jc w:val="center"/>
              <w:rPr>
                <w:rFonts w:cs="Arial"/>
                <w:sz w:val="18"/>
                <w:szCs w:val="18"/>
              </w:rPr>
            </w:pPr>
            <w:r>
              <w:rPr>
                <w:rFonts w:cs="Arial"/>
                <w:color w:val="000000"/>
                <w:sz w:val="18"/>
                <w:szCs w:val="18"/>
              </w:rPr>
              <w:t>82</w:t>
            </w:r>
          </w:p>
        </w:tc>
        <w:tc>
          <w:tcPr>
            <w:tcW w:w="809" w:type="dxa"/>
            <w:tcBorders>
              <w:top w:val="nil"/>
              <w:left w:val="nil"/>
              <w:bottom w:val="dashed" w:sz="8" w:space="0" w:color="FFFFFF"/>
              <w:right w:val="dashed" w:sz="8" w:space="0" w:color="FFFFFF"/>
            </w:tcBorders>
            <w:shd w:val="clear" w:color="auto" w:fill="auto"/>
            <w:noWrap/>
            <w:vAlign w:val="center"/>
            <w:hideMark/>
          </w:tcPr>
          <w:p w14:paraId="42C89B0B" w14:textId="104E3017" w:rsidR="00622474" w:rsidRPr="00FB746B" w:rsidRDefault="00622474" w:rsidP="002A2B93">
            <w:pPr>
              <w:spacing w:before="0"/>
              <w:jc w:val="center"/>
              <w:rPr>
                <w:rFonts w:cs="Arial"/>
                <w:sz w:val="18"/>
                <w:szCs w:val="18"/>
              </w:rPr>
            </w:pPr>
            <w:r w:rsidRPr="00FB746B">
              <w:rPr>
                <w:rFonts w:cs="Arial"/>
                <w:sz w:val="18"/>
                <w:szCs w:val="18"/>
              </w:rPr>
              <w:t>77</w:t>
            </w:r>
          </w:p>
        </w:tc>
        <w:tc>
          <w:tcPr>
            <w:tcW w:w="809" w:type="dxa"/>
            <w:tcBorders>
              <w:top w:val="nil"/>
              <w:left w:val="nil"/>
              <w:bottom w:val="dashed" w:sz="8" w:space="0" w:color="FFFFFF"/>
              <w:right w:val="dashed" w:sz="8" w:space="0" w:color="FFFFFF"/>
            </w:tcBorders>
            <w:shd w:val="clear" w:color="auto" w:fill="auto"/>
            <w:noWrap/>
            <w:vAlign w:val="center"/>
            <w:hideMark/>
          </w:tcPr>
          <w:p w14:paraId="24F0C579" w14:textId="29E771EA" w:rsidR="00622474" w:rsidRPr="00FB746B" w:rsidRDefault="00622474" w:rsidP="002A2B93">
            <w:pPr>
              <w:spacing w:before="0"/>
              <w:jc w:val="center"/>
              <w:rPr>
                <w:rFonts w:cs="Arial"/>
                <w:sz w:val="18"/>
                <w:szCs w:val="18"/>
              </w:rPr>
            </w:pPr>
            <w:r w:rsidRPr="00FB746B">
              <w:rPr>
                <w:rFonts w:cs="Arial"/>
                <w:sz w:val="18"/>
                <w:szCs w:val="18"/>
              </w:rPr>
              <w:t>87</w:t>
            </w:r>
          </w:p>
        </w:tc>
        <w:tc>
          <w:tcPr>
            <w:tcW w:w="809" w:type="dxa"/>
            <w:tcBorders>
              <w:top w:val="nil"/>
              <w:left w:val="nil"/>
              <w:bottom w:val="dashed" w:sz="8" w:space="0" w:color="FFFFFF"/>
              <w:right w:val="dashed" w:sz="8" w:space="0" w:color="FFFFFF"/>
            </w:tcBorders>
            <w:shd w:val="clear" w:color="auto" w:fill="auto"/>
            <w:noWrap/>
            <w:vAlign w:val="center"/>
            <w:hideMark/>
          </w:tcPr>
          <w:p w14:paraId="43D46994" w14:textId="52894400" w:rsidR="00622474" w:rsidRPr="00FB746B" w:rsidRDefault="000B487E" w:rsidP="002A2B93">
            <w:pPr>
              <w:spacing w:before="0"/>
              <w:jc w:val="center"/>
              <w:rPr>
                <w:rFonts w:cs="Arial"/>
                <w:sz w:val="18"/>
                <w:szCs w:val="18"/>
              </w:rPr>
            </w:pPr>
            <w:r w:rsidRPr="00FB746B">
              <w:rPr>
                <w:rFonts w:cs="Arial"/>
                <w:color w:val="000000"/>
                <w:sz w:val="18"/>
                <w:szCs w:val="18"/>
              </w:rPr>
              <w:t>88</w:t>
            </w:r>
          </w:p>
        </w:tc>
        <w:tc>
          <w:tcPr>
            <w:tcW w:w="809" w:type="dxa"/>
            <w:tcBorders>
              <w:top w:val="nil"/>
              <w:left w:val="nil"/>
              <w:bottom w:val="dashed" w:sz="8" w:space="0" w:color="FFFFFF"/>
              <w:right w:val="dashed" w:sz="8" w:space="0" w:color="FFFFFF"/>
            </w:tcBorders>
            <w:shd w:val="clear" w:color="auto" w:fill="auto"/>
            <w:noWrap/>
            <w:vAlign w:val="center"/>
            <w:hideMark/>
          </w:tcPr>
          <w:p w14:paraId="46E33C90" w14:textId="2A22DC76" w:rsidR="00622474" w:rsidRPr="00FB746B" w:rsidRDefault="000B487E" w:rsidP="002A2B93">
            <w:pPr>
              <w:spacing w:before="0"/>
              <w:jc w:val="center"/>
              <w:rPr>
                <w:rFonts w:cs="Arial"/>
                <w:sz w:val="18"/>
                <w:szCs w:val="18"/>
              </w:rPr>
            </w:pPr>
            <w:r w:rsidRPr="00FB746B">
              <w:rPr>
                <w:rFonts w:cs="Arial"/>
                <w:color w:val="000000"/>
                <w:sz w:val="18"/>
                <w:szCs w:val="18"/>
              </w:rPr>
              <w:t>88</w:t>
            </w:r>
          </w:p>
        </w:tc>
        <w:tc>
          <w:tcPr>
            <w:tcW w:w="809" w:type="dxa"/>
            <w:tcBorders>
              <w:top w:val="nil"/>
              <w:left w:val="nil"/>
              <w:bottom w:val="dashed" w:sz="8" w:space="0" w:color="FFFFFF"/>
              <w:right w:val="dashed" w:sz="8" w:space="0" w:color="FFFFFF"/>
            </w:tcBorders>
            <w:shd w:val="clear" w:color="auto" w:fill="auto"/>
            <w:noWrap/>
            <w:vAlign w:val="center"/>
            <w:hideMark/>
          </w:tcPr>
          <w:p w14:paraId="16974C70" w14:textId="0B1B7AE2" w:rsidR="00622474" w:rsidRPr="00FB746B" w:rsidRDefault="00622474" w:rsidP="002A2B93">
            <w:pPr>
              <w:spacing w:before="0"/>
              <w:jc w:val="center"/>
              <w:rPr>
                <w:rFonts w:cs="Arial"/>
                <w:sz w:val="18"/>
                <w:szCs w:val="18"/>
              </w:rPr>
            </w:pPr>
            <w:r w:rsidRPr="00FB746B">
              <w:rPr>
                <w:rFonts w:cs="Arial"/>
                <w:sz w:val="18"/>
                <w:szCs w:val="18"/>
              </w:rPr>
              <w:t>80</w:t>
            </w:r>
          </w:p>
        </w:tc>
        <w:tc>
          <w:tcPr>
            <w:tcW w:w="702" w:type="dxa"/>
            <w:tcBorders>
              <w:top w:val="nil"/>
              <w:left w:val="nil"/>
              <w:bottom w:val="dashed" w:sz="8" w:space="0" w:color="FFFFFF"/>
              <w:right w:val="dashed" w:sz="8" w:space="0" w:color="FFFFFF"/>
            </w:tcBorders>
            <w:shd w:val="clear" w:color="auto" w:fill="auto"/>
            <w:noWrap/>
            <w:vAlign w:val="center"/>
            <w:hideMark/>
          </w:tcPr>
          <w:p w14:paraId="455C1C49" w14:textId="3845EEE4" w:rsidR="00622474" w:rsidRPr="00FB746B" w:rsidRDefault="00622474" w:rsidP="002A2B93">
            <w:pPr>
              <w:spacing w:before="0"/>
              <w:jc w:val="center"/>
              <w:rPr>
                <w:rFonts w:cs="Arial"/>
                <w:sz w:val="18"/>
                <w:szCs w:val="18"/>
              </w:rPr>
            </w:pPr>
            <w:r w:rsidRPr="00FB746B">
              <w:rPr>
                <w:rFonts w:cs="Arial"/>
                <w:sz w:val="18"/>
                <w:szCs w:val="18"/>
              </w:rPr>
              <w:t>72</w:t>
            </w:r>
          </w:p>
        </w:tc>
        <w:tc>
          <w:tcPr>
            <w:tcW w:w="993" w:type="dxa"/>
            <w:tcBorders>
              <w:top w:val="nil"/>
              <w:left w:val="nil"/>
              <w:bottom w:val="dashed" w:sz="8" w:space="0" w:color="FFFFFF"/>
              <w:right w:val="dashed" w:sz="8" w:space="0" w:color="FFFFFF"/>
            </w:tcBorders>
            <w:shd w:val="clear" w:color="auto" w:fill="auto"/>
            <w:noWrap/>
            <w:vAlign w:val="center"/>
            <w:hideMark/>
          </w:tcPr>
          <w:p w14:paraId="79B5EDD0" w14:textId="6DEA82E8" w:rsidR="00622474" w:rsidRPr="00FB746B" w:rsidRDefault="00622474" w:rsidP="002A2B93">
            <w:pPr>
              <w:spacing w:before="0"/>
              <w:jc w:val="center"/>
              <w:rPr>
                <w:rFonts w:cs="Arial"/>
                <w:sz w:val="18"/>
                <w:szCs w:val="18"/>
              </w:rPr>
            </w:pPr>
            <w:r w:rsidRPr="00FB746B">
              <w:rPr>
                <w:rFonts w:cs="Arial"/>
                <w:sz w:val="18"/>
                <w:szCs w:val="18"/>
              </w:rPr>
              <w:t>84</w:t>
            </w:r>
          </w:p>
        </w:tc>
        <w:tc>
          <w:tcPr>
            <w:tcW w:w="732" w:type="dxa"/>
            <w:tcBorders>
              <w:top w:val="nil"/>
              <w:left w:val="nil"/>
              <w:bottom w:val="dashed" w:sz="8" w:space="0" w:color="FFFFFF"/>
              <w:right w:val="dashed" w:sz="8" w:space="0" w:color="FFFFFF"/>
            </w:tcBorders>
            <w:shd w:val="clear" w:color="auto" w:fill="auto"/>
            <w:noWrap/>
            <w:vAlign w:val="center"/>
            <w:hideMark/>
          </w:tcPr>
          <w:p w14:paraId="537147D6" w14:textId="58ACF591" w:rsidR="00622474" w:rsidRPr="00FB746B" w:rsidRDefault="00622474" w:rsidP="002A2B93">
            <w:pPr>
              <w:spacing w:before="0"/>
              <w:jc w:val="center"/>
              <w:rPr>
                <w:rFonts w:cs="Arial"/>
                <w:sz w:val="18"/>
                <w:szCs w:val="18"/>
              </w:rPr>
            </w:pPr>
            <w:r w:rsidRPr="00FB746B">
              <w:rPr>
                <w:rFonts w:cs="Arial"/>
                <w:sz w:val="18"/>
                <w:szCs w:val="18"/>
              </w:rPr>
              <w:t>80</w:t>
            </w:r>
          </w:p>
        </w:tc>
      </w:tr>
      <w:tr w:rsidR="00622474" w:rsidRPr="00FB746B" w14:paraId="4DB19C02" w14:textId="77777777" w:rsidTr="0019584A">
        <w:trPr>
          <w:trHeight w:hRule="exact" w:val="307"/>
        </w:trPr>
        <w:tc>
          <w:tcPr>
            <w:tcW w:w="1569" w:type="dxa"/>
            <w:tcBorders>
              <w:top w:val="nil"/>
              <w:left w:val="dashed" w:sz="8" w:space="0" w:color="FFFFFF"/>
              <w:bottom w:val="dashed" w:sz="8" w:space="0" w:color="FFFFFF"/>
              <w:right w:val="dashed" w:sz="8" w:space="0" w:color="FFFFFF"/>
            </w:tcBorders>
            <w:shd w:val="clear" w:color="000000" w:fill="EFD3D2"/>
            <w:noWrap/>
            <w:vAlign w:val="center"/>
            <w:hideMark/>
          </w:tcPr>
          <w:p w14:paraId="450B3448" w14:textId="77777777" w:rsidR="00622474" w:rsidRPr="00FB746B" w:rsidRDefault="00622474" w:rsidP="00622474">
            <w:pPr>
              <w:spacing w:before="0"/>
              <w:jc w:val="left"/>
              <w:rPr>
                <w:rFonts w:cs="Arial"/>
                <w:color w:val="000000"/>
                <w:sz w:val="18"/>
                <w:szCs w:val="18"/>
              </w:rPr>
            </w:pPr>
            <w:r w:rsidRPr="00FB746B">
              <w:rPr>
                <w:rFonts w:cs="Arial"/>
                <w:color w:val="000000"/>
                <w:sz w:val="18"/>
                <w:szCs w:val="18"/>
              </w:rPr>
              <w:t>High income</w:t>
            </w:r>
          </w:p>
        </w:tc>
        <w:tc>
          <w:tcPr>
            <w:tcW w:w="808" w:type="dxa"/>
            <w:tcBorders>
              <w:top w:val="nil"/>
              <w:left w:val="nil"/>
              <w:bottom w:val="dashed" w:sz="8" w:space="0" w:color="FFFFFF"/>
              <w:right w:val="dashed" w:sz="8" w:space="0" w:color="FFFFFF"/>
            </w:tcBorders>
            <w:shd w:val="clear" w:color="000000" w:fill="EFD3D2"/>
            <w:noWrap/>
            <w:vAlign w:val="center"/>
            <w:hideMark/>
          </w:tcPr>
          <w:p w14:paraId="59E18BBE" w14:textId="44243C46" w:rsidR="00622474" w:rsidRPr="00FB746B" w:rsidRDefault="00622474" w:rsidP="002A2B93">
            <w:pPr>
              <w:spacing w:before="0"/>
              <w:jc w:val="center"/>
              <w:rPr>
                <w:rFonts w:cs="Arial"/>
                <w:color w:val="000000"/>
                <w:sz w:val="18"/>
                <w:szCs w:val="18"/>
              </w:rPr>
            </w:pPr>
            <w:r w:rsidRPr="00FB746B">
              <w:rPr>
                <w:rFonts w:cs="Arial"/>
                <w:color w:val="000000"/>
                <w:sz w:val="18"/>
                <w:szCs w:val="18"/>
              </w:rPr>
              <w:t>81</w:t>
            </w:r>
          </w:p>
        </w:tc>
        <w:tc>
          <w:tcPr>
            <w:tcW w:w="809" w:type="dxa"/>
            <w:tcBorders>
              <w:top w:val="nil"/>
              <w:left w:val="nil"/>
              <w:bottom w:val="dashed" w:sz="8" w:space="0" w:color="FFFFFF"/>
              <w:right w:val="dashed" w:sz="8" w:space="0" w:color="FFFFFF"/>
            </w:tcBorders>
            <w:shd w:val="clear" w:color="000000" w:fill="EFD3D2"/>
            <w:noWrap/>
          </w:tcPr>
          <w:p w14:paraId="3CBACCD8" w14:textId="67CD915B" w:rsidR="00622474" w:rsidRPr="00FB746B" w:rsidRDefault="00D75EBC" w:rsidP="002A2B93">
            <w:pPr>
              <w:spacing w:before="0"/>
              <w:jc w:val="center"/>
              <w:rPr>
                <w:rFonts w:cs="Arial"/>
                <w:color w:val="000000"/>
                <w:sz w:val="18"/>
                <w:szCs w:val="18"/>
              </w:rPr>
            </w:pPr>
            <w:r>
              <w:rPr>
                <w:rFonts w:cs="Arial"/>
                <w:color w:val="000000"/>
                <w:sz w:val="18"/>
                <w:szCs w:val="18"/>
              </w:rPr>
              <w:t>82</w:t>
            </w:r>
          </w:p>
        </w:tc>
        <w:tc>
          <w:tcPr>
            <w:tcW w:w="809" w:type="dxa"/>
            <w:tcBorders>
              <w:top w:val="nil"/>
              <w:left w:val="nil"/>
              <w:bottom w:val="dashed" w:sz="8" w:space="0" w:color="FFFFFF"/>
              <w:right w:val="dashed" w:sz="8" w:space="0" w:color="FFFFFF"/>
            </w:tcBorders>
            <w:shd w:val="clear" w:color="000000" w:fill="EFD3D2"/>
            <w:noWrap/>
            <w:vAlign w:val="center"/>
            <w:hideMark/>
          </w:tcPr>
          <w:p w14:paraId="6551459F" w14:textId="6C369336" w:rsidR="00622474" w:rsidRPr="00FB746B" w:rsidRDefault="00622474" w:rsidP="002A2B93">
            <w:pPr>
              <w:spacing w:before="0"/>
              <w:jc w:val="center"/>
              <w:rPr>
                <w:rFonts w:cs="Arial"/>
                <w:color w:val="000000"/>
                <w:sz w:val="18"/>
                <w:szCs w:val="18"/>
              </w:rPr>
            </w:pPr>
            <w:r w:rsidRPr="00FB746B">
              <w:rPr>
                <w:rFonts w:cs="Arial"/>
                <w:color w:val="000000"/>
                <w:sz w:val="18"/>
                <w:szCs w:val="18"/>
              </w:rPr>
              <w:t>77</w:t>
            </w:r>
          </w:p>
        </w:tc>
        <w:tc>
          <w:tcPr>
            <w:tcW w:w="809" w:type="dxa"/>
            <w:tcBorders>
              <w:top w:val="nil"/>
              <w:left w:val="nil"/>
              <w:bottom w:val="dashed" w:sz="8" w:space="0" w:color="FFFFFF"/>
              <w:right w:val="dashed" w:sz="8" w:space="0" w:color="FFFFFF"/>
            </w:tcBorders>
            <w:shd w:val="clear" w:color="000000" w:fill="EFD3D2"/>
            <w:noWrap/>
            <w:vAlign w:val="center"/>
            <w:hideMark/>
          </w:tcPr>
          <w:p w14:paraId="79E8C5B7" w14:textId="04BA5F6E" w:rsidR="00622474" w:rsidRPr="00FB746B" w:rsidRDefault="00622474" w:rsidP="002A2B93">
            <w:pPr>
              <w:spacing w:before="0"/>
              <w:jc w:val="center"/>
              <w:rPr>
                <w:rFonts w:cs="Arial"/>
                <w:color w:val="000000"/>
                <w:sz w:val="18"/>
                <w:szCs w:val="18"/>
              </w:rPr>
            </w:pPr>
            <w:r w:rsidRPr="00FB746B">
              <w:rPr>
                <w:rFonts w:cs="Arial"/>
                <w:color w:val="000000"/>
                <w:sz w:val="18"/>
                <w:szCs w:val="18"/>
              </w:rPr>
              <w:t>87</w:t>
            </w:r>
          </w:p>
        </w:tc>
        <w:tc>
          <w:tcPr>
            <w:tcW w:w="809" w:type="dxa"/>
            <w:tcBorders>
              <w:top w:val="nil"/>
              <w:left w:val="nil"/>
              <w:bottom w:val="dashed" w:sz="8" w:space="0" w:color="FFFFFF"/>
              <w:right w:val="dashed" w:sz="8" w:space="0" w:color="FFFFFF"/>
            </w:tcBorders>
            <w:shd w:val="clear" w:color="000000" w:fill="EFD3D2"/>
            <w:noWrap/>
            <w:vAlign w:val="center"/>
            <w:hideMark/>
          </w:tcPr>
          <w:p w14:paraId="71F5FF54" w14:textId="1A1480E5" w:rsidR="00622474" w:rsidRPr="00FB746B" w:rsidRDefault="000B487E" w:rsidP="002A2B93">
            <w:pPr>
              <w:spacing w:before="0"/>
              <w:jc w:val="center"/>
              <w:rPr>
                <w:rFonts w:cs="Arial"/>
                <w:color w:val="000000"/>
                <w:sz w:val="18"/>
                <w:szCs w:val="18"/>
              </w:rPr>
            </w:pPr>
            <w:r w:rsidRPr="00FB746B">
              <w:rPr>
                <w:rFonts w:cs="Arial"/>
                <w:color w:val="000000"/>
                <w:sz w:val="18"/>
                <w:szCs w:val="18"/>
              </w:rPr>
              <w:t>88</w:t>
            </w:r>
          </w:p>
        </w:tc>
        <w:tc>
          <w:tcPr>
            <w:tcW w:w="809" w:type="dxa"/>
            <w:tcBorders>
              <w:top w:val="nil"/>
              <w:left w:val="nil"/>
              <w:bottom w:val="dashed" w:sz="8" w:space="0" w:color="FFFFFF"/>
              <w:right w:val="dashed" w:sz="8" w:space="0" w:color="FFFFFF"/>
            </w:tcBorders>
            <w:shd w:val="clear" w:color="000000" w:fill="EFD3D2"/>
            <w:noWrap/>
            <w:vAlign w:val="center"/>
            <w:hideMark/>
          </w:tcPr>
          <w:p w14:paraId="0551317B" w14:textId="66169454" w:rsidR="00622474" w:rsidRPr="00FB746B" w:rsidRDefault="000B487E" w:rsidP="002A2B93">
            <w:pPr>
              <w:spacing w:before="0"/>
              <w:jc w:val="center"/>
              <w:rPr>
                <w:rFonts w:cs="Arial"/>
                <w:color w:val="000000"/>
                <w:sz w:val="18"/>
                <w:szCs w:val="18"/>
              </w:rPr>
            </w:pPr>
            <w:r w:rsidRPr="00FB746B">
              <w:rPr>
                <w:rFonts w:cs="Arial"/>
                <w:color w:val="000000"/>
                <w:sz w:val="18"/>
                <w:szCs w:val="18"/>
              </w:rPr>
              <w:t>88</w:t>
            </w:r>
          </w:p>
        </w:tc>
        <w:tc>
          <w:tcPr>
            <w:tcW w:w="809" w:type="dxa"/>
            <w:tcBorders>
              <w:top w:val="nil"/>
              <w:left w:val="nil"/>
              <w:bottom w:val="dashed" w:sz="8" w:space="0" w:color="FFFFFF"/>
              <w:right w:val="dashed" w:sz="8" w:space="0" w:color="FFFFFF"/>
            </w:tcBorders>
            <w:shd w:val="clear" w:color="000000" w:fill="EFD3D2"/>
            <w:noWrap/>
            <w:vAlign w:val="center"/>
            <w:hideMark/>
          </w:tcPr>
          <w:p w14:paraId="16E3E7D2" w14:textId="39DBF061"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c>
          <w:tcPr>
            <w:tcW w:w="702" w:type="dxa"/>
            <w:tcBorders>
              <w:top w:val="nil"/>
              <w:left w:val="nil"/>
              <w:bottom w:val="dashed" w:sz="8" w:space="0" w:color="FFFFFF"/>
              <w:right w:val="dashed" w:sz="8" w:space="0" w:color="FFFFFF"/>
            </w:tcBorders>
            <w:shd w:val="clear" w:color="000000" w:fill="EFD3D2"/>
            <w:noWrap/>
            <w:vAlign w:val="center"/>
            <w:hideMark/>
          </w:tcPr>
          <w:p w14:paraId="4041163E" w14:textId="18D1093C" w:rsidR="00622474" w:rsidRPr="00FB746B" w:rsidRDefault="00622474" w:rsidP="002A2B93">
            <w:pPr>
              <w:spacing w:before="0"/>
              <w:jc w:val="center"/>
              <w:rPr>
                <w:rFonts w:cs="Arial"/>
                <w:color w:val="000000"/>
                <w:sz w:val="18"/>
                <w:szCs w:val="18"/>
              </w:rPr>
            </w:pPr>
            <w:r w:rsidRPr="00FB746B">
              <w:rPr>
                <w:rFonts w:cs="Arial"/>
                <w:color w:val="000000"/>
                <w:sz w:val="18"/>
                <w:szCs w:val="18"/>
              </w:rPr>
              <w:t>72</w:t>
            </w:r>
          </w:p>
        </w:tc>
        <w:tc>
          <w:tcPr>
            <w:tcW w:w="993" w:type="dxa"/>
            <w:tcBorders>
              <w:top w:val="nil"/>
              <w:left w:val="nil"/>
              <w:bottom w:val="dashed" w:sz="8" w:space="0" w:color="FFFFFF"/>
              <w:right w:val="dashed" w:sz="8" w:space="0" w:color="FFFFFF"/>
            </w:tcBorders>
            <w:shd w:val="clear" w:color="000000" w:fill="EFD3D2"/>
            <w:noWrap/>
            <w:vAlign w:val="center"/>
            <w:hideMark/>
          </w:tcPr>
          <w:p w14:paraId="1BFF0FC8" w14:textId="64492447" w:rsidR="00622474" w:rsidRPr="00FB746B" w:rsidRDefault="00622474" w:rsidP="002A2B93">
            <w:pPr>
              <w:spacing w:before="0"/>
              <w:jc w:val="center"/>
              <w:rPr>
                <w:rFonts w:cs="Arial"/>
                <w:color w:val="000000"/>
                <w:sz w:val="18"/>
                <w:szCs w:val="18"/>
              </w:rPr>
            </w:pPr>
            <w:r w:rsidRPr="00FB746B">
              <w:rPr>
                <w:rFonts w:cs="Arial"/>
                <w:color w:val="000000"/>
                <w:sz w:val="18"/>
                <w:szCs w:val="18"/>
              </w:rPr>
              <w:t>84</w:t>
            </w:r>
          </w:p>
        </w:tc>
        <w:tc>
          <w:tcPr>
            <w:tcW w:w="732" w:type="dxa"/>
            <w:tcBorders>
              <w:top w:val="nil"/>
              <w:left w:val="nil"/>
              <w:bottom w:val="dashed" w:sz="8" w:space="0" w:color="FFFFFF"/>
              <w:right w:val="dashed" w:sz="8" w:space="0" w:color="FFFFFF"/>
            </w:tcBorders>
            <w:shd w:val="clear" w:color="000000" w:fill="EFD3D2"/>
            <w:noWrap/>
            <w:vAlign w:val="center"/>
            <w:hideMark/>
          </w:tcPr>
          <w:p w14:paraId="230D3B88" w14:textId="6501AAF5" w:rsidR="00622474" w:rsidRPr="00FB746B" w:rsidRDefault="00622474" w:rsidP="002A2B93">
            <w:pPr>
              <w:spacing w:before="0"/>
              <w:jc w:val="center"/>
              <w:rPr>
                <w:rFonts w:cs="Arial"/>
                <w:color w:val="000000"/>
                <w:sz w:val="18"/>
                <w:szCs w:val="18"/>
              </w:rPr>
            </w:pPr>
            <w:r w:rsidRPr="00FB746B">
              <w:rPr>
                <w:rFonts w:cs="Arial"/>
                <w:color w:val="000000"/>
                <w:sz w:val="18"/>
                <w:szCs w:val="18"/>
              </w:rPr>
              <w:t>80</w:t>
            </w:r>
          </w:p>
        </w:tc>
      </w:tr>
    </w:tbl>
    <w:p w14:paraId="06480CC0" w14:textId="544E4CBD" w:rsidR="00551D6C" w:rsidRPr="00551D6C" w:rsidRDefault="00DF3321" w:rsidP="00B41C82">
      <w:pPr>
        <w:pStyle w:val="Footnote"/>
        <w:spacing w:after="120"/>
      </w:pPr>
      <w:bookmarkStart w:id="12" w:name="_Hlk81985507"/>
      <w:r>
        <w:t xml:space="preserve">See </w:t>
      </w:r>
      <w:r w:rsidR="001471FC" w:rsidRPr="00551D6C">
        <w:rPr>
          <w:i/>
          <w:iCs/>
        </w:rPr>
        <w:t>A</w:t>
      </w:r>
      <w:r w:rsidRPr="00551D6C">
        <w:rPr>
          <w:i/>
          <w:iCs/>
        </w:rPr>
        <w:t xml:space="preserve">ppendix </w:t>
      </w:r>
      <w:r w:rsidR="00FF31C9">
        <w:rPr>
          <w:i/>
          <w:iCs/>
        </w:rPr>
        <w:t>1</w:t>
      </w:r>
      <w:r w:rsidRPr="00551D6C">
        <w:rPr>
          <w:i/>
          <w:iCs/>
        </w:rPr>
        <w:t xml:space="preserve">: </w:t>
      </w:r>
      <w:r w:rsidR="00FF31C9">
        <w:rPr>
          <w:i/>
          <w:iCs/>
        </w:rPr>
        <w:t>N</w:t>
      </w:r>
      <w:r w:rsidR="001471FC" w:rsidRPr="00551D6C">
        <w:rPr>
          <w:i/>
          <w:iCs/>
        </w:rPr>
        <w:t>otes</w:t>
      </w:r>
      <w:r w:rsidR="001471FC">
        <w:t xml:space="preserve"> </w:t>
      </w:r>
      <w:r w:rsidR="00FF31C9" w:rsidRPr="00FF31C9">
        <w:rPr>
          <w:i/>
          <w:iCs/>
        </w:rPr>
        <w:t>for Indicator 15 and 16</w:t>
      </w:r>
      <w:r w:rsidR="00FF31C9">
        <w:t xml:space="preserve"> </w:t>
      </w:r>
      <w:r w:rsidR="001471FC">
        <w:t>for further information</w:t>
      </w:r>
      <w:r w:rsidR="00FF31C9">
        <w:t>.</w:t>
      </w:r>
    </w:p>
    <w:p w14:paraId="1B399285" w14:textId="4C54AE97" w:rsidR="006D31F5" w:rsidRDefault="006D31F5" w:rsidP="00FC7F4C">
      <w:pPr>
        <w:pStyle w:val="SWASectionnum2"/>
      </w:pPr>
      <w:bookmarkStart w:id="13" w:name="_Toc79584101"/>
      <w:bookmarkStart w:id="14" w:name="_Toc86056326"/>
      <w:bookmarkEnd w:id="12"/>
      <w:r>
        <w:t>Permanent impairment</w:t>
      </w:r>
      <w:bookmarkEnd w:id="13"/>
      <w:r w:rsidR="00516DF2">
        <w:t xml:space="preserve"> </w:t>
      </w:r>
      <w:r w:rsidR="0002740D">
        <w:t>(scenario)</w:t>
      </w:r>
      <w:bookmarkEnd w:id="14"/>
    </w:p>
    <w:p w14:paraId="0AB6A9D9" w14:textId="77777777" w:rsidR="004E61EF" w:rsidRDefault="006417F6" w:rsidP="00C811CD">
      <w:pPr>
        <w:pStyle w:val="BodyJustified"/>
      </w:pPr>
      <w:r>
        <w:t>Impairment</w:t>
      </w:r>
      <w:r w:rsidR="008E7668">
        <w:t xml:space="preserve"> is assessed as p</w:t>
      </w:r>
      <w:r w:rsidR="004E61EF">
        <w:t xml:space="preserve">ermanent </w:t>
      </w:r>
      <w:r w:rsidR="008E7668">
        <w:t xml:space="preserve">when </w:t>
      </w:r>
      <w:r w:rsidR="007E601B">
        <w:t xml:space="preserve">it has reached maximal medical improvement. Maximal medical improvement </w:t>
      </w:r>
      <w:r w:rsidR="007F7F97">
        <w:t xml:space="preserve">generally refers to where the impairment has become stable </w:t>
      </w:r>
      <w:r w:rsidR="007E601B">
        <w:t xml:space="preserve">and </w:t>
      </w:r>
      <w:r w:rsidR="007F7F97">
        <w:t xml:space="preserve">is </w:t>
      </w:r>
      <w:r w:rsidR="007E601B">
        <w:t>unlikely to change, with or without medical treatment. Over time, there may be some change; however, further recovery or deterioration is not anticipated.</w:t>
      </w:r>
    </w:p>
    <w:p w14:paraId="12EB235C" w14:textId="77777777" w:rsidR="00F83D0E" w:rsidRDefault="006D31F5" w:rsidP="00C811CD">
      <w:pPr>
        <w:pStyle w:val="BodyJustified"/>
      </w:pPr>
      <w:r>
        <w:t xml:space="preserve">This scenario shows the entitlements payable for a degree of permanent impairment caused by a workplace injury. </w:t>
      </w:r>
    </w:p>
    <w:p w14:paraId="1C9E9FC8" w14:textId="01F79A67" w:rsidR="006D31F5" w:rsidRDefault="00CE0CF4" w:rsidP="00C811CD">
      <w:pPr>
        <w:pStyle w:val="BodyJustified"/>
      </w:pPr>
      <w:r w:rsidRPr="00CE0CF4">
        <w:rPr>
          <w:i/>
          <w:iCs/>
        </w:rPr>
        <w:t>Appendix 1 – Table 3: Other entitlements under Australian workers’ compensation schemes for award wage earners as at 1 January 2020</w:t>
      </w:r>
      <w:r w:rsidRPr="00CE0CF4">
        <w:t xml:space="preserve"> </w:t>
      </w:r>
      <w:r w:rsidR="006D31F5">
        <w:t xml:space="preserve">lists entitlements under workers’ compensation schemes for each jurisdiction. </w:t>
      </w:r>
    </w:p>
    <w:p w14:paraId="0886094C" w14:textId="15A75E4E" w:rsidR="006D31F5" w:rsidRPr="00A5500D" w:rsidRDefault="006D31F5" w:rsidP="00A5500D">
      <w:pPr>
        <w:pStyle w:val="SWADisclaimerheading"/>
        <w:rPr>
          <w:i/>
          <w:iCs/>
          <w:szCs w:val="20"/>
        </w:rPr>
      </w:pPr>
      <w:r w:rsidRPr="00A5500D">
        <w:rPr>
          <w:i/>
          <w:iCs/>
          <w:sz w:val="20"/>
          <w:szCs w:val="20"/>
        </w:rPr>
        <w:t>Scenario</w:t>
      </w:r>
      <w:r w:rsidR="00F45A7F">
        <w:rPr>
          <w:i/>
          <w:iCs/>
          <w:sz w:val="20"/>
          <w:szCs w:val="20"/>
        </w:rPr>
        <w:t>:</w:t>
      </w:r>
      <w:r w:rsidR="002E2B12">
        <w:rPr>
          <w:i/>
          <w:iCs/>
          <w:sz w:val="20"/>
          <w:szCs w:val="20"/>
        </w:rPr>
        <w:t xml:space="preserve"> </w:t>
      </w:r>
      <w:r w:rsidRPr="00A5500D">
        <w:rPr>
          <w:i/>
          <w:iCs/>
          <w:sz w:val="20"/>
          <w:szCs w:val="20"/>
        </w:rPr>
        <w:t xml:space="preserve">As a result of a workplace incident the employee was diagnosed with complete tetraplegia below the 6th cervical neurological segment. This resulted in paralysis of his hands, impaired upper body movement and paralysis of </w:t>
      </w:r>
      <w:r w:rsidR="00456A8E">
        <w:rPr>
          <w:i/>
          <w:iCs/>
          <w:sz w:val="20"/>
          <w:szCs w:val="20"/>
        </w:rPr>
        <w:t>his</w:t>
      </w:r>
      <w:r w:rsidR="00456A8E" w:rsidRPr="00A5500D">
        <w:rPr>
          <w:i/>
          <w:iCs/>
          <w:sz w:val="20"/>
          <w:szCs w:val="20"/>
        </w:rPr>
        <w:t xml:space="preserve"> </w:t>
      </w:r>
      <w:r w:rsidRPr="00A5500D">
        <w:rPr>
          <w:i/>
          <w:iCs/>
          <w:sz w:val="20"/>
          <w:szCs w:val="20"/>
        </w:rPr>
        <w:t xml:space="preserve">trunk and lower limbs. He lost all lower body function and was wheelchair-bound. Impairment was total and permanent and there was no real prospect of returning to work. </w:t>
      </w:r>
    </w:p>
    <w:p w14:paraId="191F5CD6" w14:textId="7CBB7D03" w:rsidR="006D31F5" w:rsidRDefault="006D31F5" w:rsidP="00A5500D">
      <w:pPr>
        <w:pStyle w:val="SWADisclaimerheading"/>
        <w:rPr>
          <w:i/>
          <w:iCs/>
          <w:sz w:val="20"/>
          <w:szCs w:val="20"/>
        </w:rPr>
      </w:pPr>
      <w:r w:rsidRPr="00A5500D">
        <w:rPr>
          <w:i/>
          <w:iCs/>
          <w:sz w:val="20"/>
          <w:szCs w:val="20"/>
        </w:rPr>
        <w:t>The employee’s pre-injury earnings were $1</w:t>
      </w:r>
      <w:r w:rsidR="00EA3F3B" w:rsidRPr="00A5500D">
        <w:rPr>
          <w:i/>
          <w:iCs/>
          <w:sz w:val="20"/>
          <w:szCs w:val="20"/>
        </w:rPr>
        <w:t>,</w:t>
      </w:r>
      <w:r w:rsidR="007E159A" w:rsidRPr="00A5500D">
        <w:rPr>
          <w:i/>
          <w:iCs/>
          <w:sz w:val="20"/>
          <w:szCs w:val="20"/>
        </w:rPr>
        <w:t>8</w:t>
      </w:r>
      <w:r w:rsidRPr="00A5500D">
        <w:rPr>
          <w:i/>
          <w:iCs/>
          <w:sz w:val="20"/>
          <w:szCs w:val="20"/>
        </w:rPr>
        <w:t xml:space="preserve">00 gross per week. The employee is 35 years of age and has a </w:t>
      </w:r>
      <w:r w:rsidR="000452DF" w:rsidRPr="00A5500D">
        <w:rPr>
          <w:i/>
          <w:iCs/>
          <w:sz w:val="20"/>
          <w:szCs w:val="20"/>
        </w:rPr>
        <w:t>dependant</w:t>
      </w:r>
      <w:r w:rsidRPr="00A5500D">
        <w:rPr>
          <w:i/>
          <w:iCs/>
          <w:sz w:val="20"/>
          <w:szCs w:val="20"/>
        </w:rPr>
        <w:t xml:space="preserve"> spouse and two children aged </w:t>
      </w:r>
      <w:r w:rsidR="00456A8E">
        <w:rPr>
          <w:i/>
          <w:iCs/>
          <w:sz w:val="20"/>
          <w:szCs w:val="20"/>
        </w:rPr>
        <w:t>seven</w:t>
      </w:r>
      <w:r w:rsidRPr="00A5500D">
        <w:rPr>
          <w:i/>
          <w:iCs/>
          <w:sz w:val="20"/>
          <w:szCs w:val="20"/>
        </w:rPr>
        <w:t xml:space="preserve"> and </w:t>
      </w:r>
      <w:r w:rsidR="00456A8E">
        <w:rPr>
          <w:i/>
          <w:iCs/>
          <w:sz w:val="20"/>
          <w:szCs w:val="20"/>
        </w:rPr>
        <w:t>eight</w:t>
      </w:r>
      <w:r w:rsidRPr="00A5500D">
        <w:rPr>
          <w:i/>
          <w:iCs/>
          <w:sz w:val="20"/>
          <w:szCs w:val="20"/>
        </w:rPr>
        <w:t xml:space="preserve">. The younger child entered the workforce at 16 and the older child remained in full-time education until age 25. The employee contributed to a superannuation fund. There was no contributory negligence on his part; </w:t>
      </w:r>
      <w:r w:rsidR="005A02E4" w:rsidRPr="00A5500D">
        <w:rPr>
          <w:i/>
          <w:iCs/>
          <w:sz w:val="20"/>
          <w:szCs w:val="20"/>
        </w:rPr>
        <w:t>however,</w:t>
      </w:r>
      <w:r w:rsidRPr="00A5500D">
        <w:rPr>
          <w:i/>
          <w:iCs/>
          <w:sz w:val="20"/>
          <w:szCs w:val="20"/>
        </w:rPr>
        <w:t xml:space="preserve"> there was negligence on the part of the employer. </w:t>
      </w:r>
    </w:p>
    <w:p w14:paraId="6BAB799E" w14:textId="77777777" w:rsidR="00144F53" w:rsidRDefault="006D31F5" w:rsidP="00C811CD">
      <w:pPr>
        <w:pStyle w:val="BodyJustified"/>
      </w:pPr>
      <w:r w:rsidRPr="00BE094A">
        <w:t xml:space="preserve">Indicator </w:t>
      </w:r>
      <w:r w:rsidR="00EA3F3B">
        <w:t>16</w:t>
      </w:r>
      <w:r w:rsidRPr="00895E3D">
        <w:t xml:space="preserve"> </w:t>
      </w:r>
      <w:r w:rsidR="00144F53">
        <w:t xml:space="preserve">(in the next section) </w:t>
      </w:r>
      <w:r w:rsidRPr="00895E3D">
        <w:t xml:space="preserve">details the entitlements payable to the injured employee. </w:t>
      </w:r>
      <w:r w:rsidR="006C2F42">
        <w:t xml:space="preserve">Entitlements may be paid as two </w:t>
      </w:r>
      <w:proofErr w:type="gramStart"/>
      <w:r w:rsidR="006C2F42">
        <w:t>components</w:t>
      </w:r>
      <w:r w:rsidR="001C0393">
        <w:t>;</w:t>
      </w:r>
      <w:proofErr w:type="gramEnd"/>
      <w:r w:rsidR="006C2F42">
        <w:t xml:space="preserve"> </w:t>
      </w:r>
    </w:p>
    <w:p w14:paraId="3E1039AA" w14:textId="5451B3C7" w:rsidR="00144F53" w:rsidRDefault="006C2F42" w:rsidP="00144F53">
      <w:pPr>
        <w:pStyle w:val="BodyJustified"/>
        <w:numPr>
          <w:ilvl w:val="0"/>
          <w:numId w:val="29"/>
        </w:numPr>
      </w:pPr>
      <w:r>
        <w:t xml:space="preserve">a statutory component that may include both weekly payments and/or a lump sum </w:t>
      </w:r>
    </w:p>
    <w:p w14:paraId="5349E136" w14:textId="74B38983" w:rsidR="00144F53" w:rsidRDefault="00144F53" w:rsidP="00144F53">
      <w:pPr>
        <w:pStyle w:val="BodyJustified"/>
        <w:ind w:left="720"/>
      </w:pPr>
      <w:r w:rsidRPr="00895E3D">
        <w:t>The statutory component includes the</w:t>
      </w:r>
      <w:r>
        <w:t xml:space="preserve"> weekly benefits payable for the remainder of the employee’s working life.</w:t>
      </w:r>
      <w:r w:rsidR="000616F6">
        <w:t xml:space="preserve"> </w:t>
      </w:r>
    </w:p>
    <w:p w14:paraId="52607323" w14:textId="77777777" w:rsidR="00144F53" w:rsidRDefault="006C2F42" w:rsidP="00C811CD">
      <w:pPr>
        <w:pStyle w:val="BodyJustified"/>
        <w:numPr>
          <w:ilvl w:val="0"/>
          <w:numId w:val="29"/>
        </w:numPr>
      </w:pPr>
      <w:r>
        <w:t xml:space="preserve">a common law component paid as a lump sum. </w:t>
      </w:r>
    </w:p>
    <w:p w14:paraId="310893AD" w14:textId="65016F1D" w:rsidR="00144F53" w:rsidRDefault="006C2F42" w:rsidP="00144F53">
      <w:pPr>
        <w:pStyle w:val="BodyJustified"/>
        <w:ind w:left="720"/>
      </w:pPr>
      <w:r>
        <w:lastRenderedPageBreak/>
        <w:t>The common law component is an estimate of the additional payment available under a common law settlement, where applicable. All figures exclude medical and like services such as attendant care. If a common law component is paid, previous statutory components are deducted from the lump sum.</w:t>
      </w:r>
      <w:r w:rsidR="00840E44">
        <w:t xml:space="preserve"> </w:t>
      </w:r>
      <w:r w:rsidR="00144F53">
        <w:t xml:space="preserve">In Western Australia, New South Wales, Queensland, </w:t>
      </w:r>
      <w:proofErr w:type="gramStart"/>
      <w:r w:rsidR="00144F53">
        <w:t>Tasmania</w:t>
      </w:r>
      <w:proofErr w:type="gramEnd"/>
      <w:r w:rsidR="00144F53">
        <w:t xml:space="preserve"> and the Australian Capital Territory there is no upper limit on damages that could be expected from a common law claim under this scenario.</w:t>
      </w:r>
    </w:p>
    <w:p w14:paraId="1C57511F" w14:textId="5CCFD8FE" w:rsidR="00144F53" w:rsidRPr="00144F53" w:rsidRDefault="00144F53" w:rsidP="00144F53">
      <w:pPr>
        <w:pStyle w:val="BodyJustified"/>
      </w:pPr>
      <w:r>
        <w:t>Indicator 16 shows that:</w:t>
      </w:r>
    </w:p>
    <w:p w14:paraId="10D7CF51" w14:textId="3AF36ACA" w:rsidR="00F42111" w:rsidRDefault="00D75EBC" w:rsidP="00144F53">
      <w:pPr>
        <w:pStyle w:val="BodyJustified"/>
        <w:numPr>
          <w:ilvl w:val="0"/>
          <w:numId w:val="29"/>
        </w:numPr>
      </w:pPr>
      <w:r>
        <w:t xml:space="preserve">Apart from South Australia, </w:t>
      </w:r>
      <w:r w:rsidR="006D1E09">
        <w:t>t</w:t>
      </w:r>
      <w:r>
        <w:t xml:space="preserve">he Northern </w:t>
      </w:r>
      <w:r w:rsidR="004B095D">
        <w:t>T</w:t>
      </w:r>
      <w:r>
        <w:t xml:space="preserve">erritory and Comcare, </w:t>
      </w:r>
      <w:r w:rsidR="006D1E09">
        <w:t>a</w:t>
      </w:r>
      <w:r>
        <w:t>ll</w:t>
      </w:r>
      <w:r w:rsidR="00F42111">
        <w:t xml:space="preserve"> </w:t>
      </w:r>
      <w:r w:rsidR="00A740C8">
        <w:t xml:space="preserve">other jurisdictions </w:t>
      </w:r>
      <w:r w:rsidR="00F42111">
        <w:t>provide common law benefits.</w:t>
      </w:r>
    </w:p>
    <w:p w14:paraId="349BE0B2" w14:textId="32BF4338" w:rsidR="00F42111" w:rsidRDefault="00F87833" w:rsidP="00F42111">
      <w:pPr>
        <w:pStyle w:val="BodyJustified"/>
        <w:numPr>
          <w:ilvl w:val="1"/>
          <w:numId w:val="29"/>
        </w:numPr>
      </w:pPr>
      <w:r>
        <w:t xml:space="preserve">In this scenario, </w:t>
      </w:r>
      <w:r w:rsidR="00F42111">
        <w:t>Western Australia provide</w:t>
      </w:r>
      <w:r>
        <w:t>s</w:t>
      </w:r>
      <w:r w:rsidR="00F42111">
        <w:t xml:space="preserve"> a common law maximum of </w:t>
      </w:r>
      <w:r w:rsidR="00F42111" w:rsidRPr="00F42111">
        <w:t>$4,317,725</w:t>
      </w:r>
      <w:r w:rsidR="00F42111">
        <w:t xml:space="preserve"> (</w:t>
      </w:r>
      <w:r w:rsidR="00F42111" w:rsidRPr="00F42111">
        <w:t xml:space="preserve">excluding medical and </w:t>
      </w:r>
      <w:proofErr w:type="spellStart"/>
      <w:r w:rsidR="00F42111" w:rsidRPr="00F42111">
        <w:t>carer</w:t>
      </w:r>
      <w:proofErr w:type="spellEnd"/>
      <w:r w:rsidR="00F42111" w:rsidRPr="00F42111">
        <w:t xml:space="preserve"> costs</w:t>
      </w:r>
      <w:r w:rsidR="00F42111">
        <w:t>).</w:t>
      </w:r>
      <w:r w:rsidR="000616F6">
        <w:t xml:space="preserve"> </w:t>
      </w:r>
      <w:r w:rsidR="00F42111">
        <w:t xml:space="preserve">This is </w:t>
      </w:r>
      <w:r w:rsidR="00F42111" w:rsidRPr="00F42111">
        <w:t xml:space="preserve">based on the average of the five highest common law payments for claims </w:t>
      </w:r>
      <w:proofErr w:type="spellStart"/>
      <w:r w:rsidR="00F42111" w:rsidRPr="00F42111">
        <w:t>finalised</w:t>
      </w:r>
      <w:proofErr w:type="spellEnd"/>
      <w:r w:rsidR="00F42111" w:rsidRPr="00F42111">
        <w:t xml:space="preserve"> between 2015</w:t>
      </w:r>
      <w:r w:rsidR="00F42111">
        <w:t>–</w:t>
      </w:r>
      <w:r w:rsidR="00F42111" w:rsidRPr="00F42111">
        <w:t>16 and 2019</w:t>
      </w:r>
      <w:r w:rsidR="00F42111">
        <w:t>–</w:t>
      </w:r>
      <w:r w:rsidR="00F42111" w:rsidRPr="00F42111">
        <w:t>20</w:t>
      </w:r>
    </w:p>
    <w:p w14:paraId="0126B2F4" w14:textId="77777777" w:rsidR="00F87833" w:rsidRDefault="00F42111" w:rsidP="00E378F8">
      <w:pPr>
        <w:pStyle w:val="BodyJustified"/>
        <w:numPr>
          <w:ilvl w:val="0"/>
          <w:numId w:val="29"/>
        </w:numPr>
      </w:pPr>
      <w:r>
        <w:t xml:space="preserve">All jurisdictions provide statutory benefits. </w:t>
      </w:r>
    </w:p>
    <w:p w14:paraId="23E6A790" w14:textId="6434A892" w:rsidR="00F42111" w:rsidRPr="00F42111" w:rsidRDefault="00F87833" w:rsidP="00F87833">
      <w:pPr>
        <w:pStyle w:val="BodyJustified"/>
        <w:numPr>
          <w:ilvl w:val="1"/>
          <w:numId w:val="29"/>
        </w:numPr>
      </w:pPr>
      <w:r>
        <w:t xml:space="preserve">In this scenario, </w:t>
      </w:r>
      <w:r w:rsidR="00F42111">
        <w:t>New South Wales provid</w:t>
      </w:r>
      <w:r>
        <w:t>es</w:t>
      </w:r>
      <w:r w:rsidR="00F42111">
        <w:t xml:space="preserve"> approximately $</w:t>
      </w:r>
      <w:r w:rsidR="00D66859">
        <w:t>2.</w:t>
      </w:r>
      <w:r w:rsidR="00DB54C4">
        <w:t>25</w:t>
      </w:r>
      <w:r w:rsidR="00D66859">
        <w:t xml:space="preserve"> </w:t>
      </w:r>
      <w:r>
        <w:t>million</w:t>
      </w:r>
      <w:r w:rsidR="00A26A26">
        <w:t xml:space="preserve"> paid</w:t>
      </w:r>
      <w:r>
        <w:t xml:space="preserve"> </w:t>
      </w:r>
      <w:r w:rsidR="00F42111">
        <w:t xml:space="preserve">in weekly benefits </w:t>
      </w:r>
      <w:r>
        <w:t xml:space="preserve">if eligible for </w:t>
      </w:r>
      <w:r w:rsidR="00F42111">
        <w:t xml:space="preserve">30 years </w:t>
      </w:r>
      <w:r>
        <w:t xml:space="preserve">(with the first </w:t>
      </w:r>
      <w:r w:rsidRPr="00F87833">
        <w:t xml:space="preserve">13 weeks paid at 95% and the remaining </w:t>
      </w:r>
      <w:r>
        <w:t xml:space="preserve">weeks </w:t>
      </w:r>
      <w:r w:rsidRPr="00F87833">
        <w:t>paid at 80%</w:t>
      </w:r>
      <w:r>
        <w:t xml:space="preserve">) </w:t>
      </w:r>
      <w:r w:rsidR="00F42111">
        <w:t xml:space="preserve">and a </w:t>
      </w:r>
      <w:r>
        <w:t>maximum s</w:t>
      </w:r>
      <w:r w:rsidR="00F42111">
        <w:t xml:space="preserve">tatutory lump sum </w:t>
      </w:r>
      <w:r>
        <w:t xml:space="preserve">benefit </w:t>
      </w:r>
      <w:r w:rsidR="00F42111">
        <w:t>of $649,950.</w:t>
      </w:r>
    </w:p>
    <w:p w14:paraId="61F7A297" w14:textId="41FFDDCC" w:rsidR="00144F53" w:rsidRDefault="00F87833" w:rsidP="00144F53">
      <w:pPr>
        <w:pStyle w:val="BodyJustified"/>
        <w:numPr>
          <w:ilvl w:val="0"/>
          <w:numId w:val="29"/>
        </w:numPr>
      </w:pPr>
      <w:r>
        <w:t xml:space="preserve">Comparisons between jurisdictions should be </w:t>
      </w:r>
      <w:r w:rsidR="00681FB7">
        <w:t xml:space="preserve">made </w:t>
      </w:r>
      <w:r>
        <w:t xml:space="preserve">with caution as there are </w:t>
      </w:r>
      <w:r w:rsidR="00732D24">
        <w:t>many</w:t>
      </w:r>
      <w:r>
        <w:t xml:space="preserve"> differences between compensation schemes.</w:t>
      </w:r>
      <w:r w:rsidR="000616F6">
        <w:t xml:space="preserve"> </w:t>
      </w:r>
      <w:r>
        <w:t xml:space="preserve">See the notes section in Indicator 16 and </w:t>
      </w:r>
      <w:r w:rsidR="00732D24">
        <w:t>Appendix </w:t>
      </w:r>
      <w:r>
        <w:t>1 for more information.</w:t>
      </w:r>
    </w:p>
    <w:p w14:paraId="5A90616E" w14:textId="77777777" w:rsidR="00F23A14" w:rsidRDefault="006D31F5" w:rsidP="00F23A14">
      <w:pPr>
        <w:pStyle w:val="BodyJustified"/>
        <w:numPr>
          <w:ilvl w:val="0"/>
          <w:numId w:val="29"/>
        </w:numPr>
      </w:pPr>
      <w:r>
        <w:t xml:space="preserve">The entitlements provided by the New Zealand scheme in this scenario are comparable to those provided by Australian jurisdictions. However, there is no access to common law under the New Zealand scheme. </w:t>
      </w:r>
    </w:p>
    <w:p w14:paraId="168A4672" w14:textId="404769EB" w:rsidR="006D31F5" w:rsidRPr="00881D2F" w:rsidRDefault="006D31F5">
      <w:pPr>
        <w:pStyle w:val="SWASectionnum2"/>
      </w:pPr>
      <w:bookmarkStart w:id="15" w:name="_Toc79584102"/>
      <w:bookmarkStart w:id="16" w:name="_Toc86056327"/>
      <w:r w:rsidRPr="00881D2F">
        <w:t>Workplace fatality</w:t>
      </w:r>
      <w:bookmarkEnd w:id="15"/>
      <w:r w:rsidR="00516DF2" w:rsidRPr="00881D2F">
        <w:t xml:space="preserve"> </w:t>
      </w:r>
      <w:r w:rsidR="0002740D" w:rsidRPr="00881D2F">
        <w:t>(scenario)</w:t>
      </w:r>
      <w:bookmarkEnd w:id="16"/>
    </w:p>
    <w:p w14:paraId="51BD383D" w14:textId="07B33647" w:rsidR="006D31F5" w:rsidRDefault="006D31F5" w:rsidP="00C811CD">
      <w:pPr>
        <w:pStyle w:val="BodyJustified"/>
      </w:pPr>
      <w:r>
        <w:t xml:space="preserve">This example examines the entitlements payable to </w:t>
      </w:r>
      <w:proofErr w:type="spellStart"/>
      <w:r w:rsidR="000452DF" w:rsidRPr="00EC0140">
        <w:t>dependant</w:t>
      </w:r>
      <w:r w:rsidRPr="00EC0140">
        <w:t>s</w:t>
      </w:r>
      <w:proofErr w:type="spellEnd"/>
      <w:r>
        <w:t xml:space="preserve"> of an employee who died </w:t>
      </w:r>
      <w:proofErr w:type="gramStart"/>
      <w:r w:rsidR="00665F9C">
        <w:t>as a result of</w:t>
      </w:r>
      <w:proofErr w:type="gramEnd"/>
      <w:r>
        <w:t xml:space="preserve"> a work</w:t>
      </w:r>
      <w:r w:rsidR="00271C3A">
        <w:noBreakHyphen/>
      </w:r>
      <w:r>
        <w:t xml:space="preserve">related injury. Entitlements to </w:t>
      </w:r>
      <w:proofErr w:type="spellStart"/>
      <w:r w:rsidR="000452DF" w:rsidRPr="00EC0140">
        <w:t>dependant</w:t>
      </w:r>
      <w:r w:rsidRPr="00EC0140">
        <w:t>s</w:t>
      </w:r>
      <w:proofErr w:type="spellEnd"/>
      <w:r>
        <w:t xml:space="preserve"> are paid by way of a lump sum and/or weekly benefits, depending on the employee’s circumstances and scheme design. </w:t>
      </w:r>
    </w:p>
    <w:p w14:paraId="6323582C" w14:textId="77777777" w:rsidR="006D31F5" w:rsidRDefault="006D31F5" w:rsidP="00C811CD">
      <w:pPr>
        <w:pStyle w:val="BodyJustified"/>
      </w:pPr>
      <w:r>
        <w:t xml:space="preserve">Pecuniary entitlements may be affected by common law payments in jurisdictions where there is access to common law redress. South Australia and the Northern Territory have no access to common law, while the </w:t>
      </w:r>
      <w:r w:rsidR="00BA2699">
        <w:t xml:space="preserve">Comcare scheme </w:t>
      </w:r>
      <w:r>
        <w:t>has limited access to common law. In Victoria there may be access to an additional lump sum under the</w:t>
      </w:r>
      <w:r>
        <w:rPr>
          <w:rFonts w:ascii="Verdana" w:hAnsi="Verdana"/>
          <w:color w:val="000000"/>
          <w:sz w:val="17"/>
          <w:szCs w:val="17"/>
        </w:rPr>
        <w:t xml:space="preserve"> </w:t>
      </w:r>
      <w:r w:rsidRPr="00D27DA9">
        <w:rPr>
          <w:rStyle w:val="Emphasis"/>
          <w:color w:val="000000"/>
        </w:rPr>
        <w:t>Wrongs Act 1958</w:t>
      </w:r>
      <w:r w:rsidRPr="009E064F">
        <w:rPr>
          <w:rStyle w:val="Emphasis"/>
          <w:color w:val="000000"/>
        </w:rPr>
        <w:t xml:space="preserve"> </w:t>
      </w:r>
      <w:r w:rsidRPr="00456A8E">
        <w:rPr>
          <w:rStyle w:val="Emphasis"/>
          <w:i w:val="0"/>
          <w:iCs/>
          <w:color w:val="000000"/>
        </w:rPr>
        <w:t>(Wrongs Act)</w:t>
      </w:r>
      <w:r w:rsidRPr="00456A8E">
        <w:rPr>
          <w:i/>
          <w:iCs/>
          <w:color w:val="000000"/>
        </w:rPr>
        <w:t>,</w:t>
      </w:r>
      <w:r w:rsidRPr="009E064F">
        <w:rPr>
          <w:i/>
          <w:color w:val="000000"/>
        </w:rPr>
        <w:t xml:space="preserve"> </w:t>
      </w:r>
      <w:r w:rsidRPr="009E064F">
        <w:rPr>
          <w:color w:val="000000"/>
        </w:rPr>
        <w:t>which is the main legislation in Victoria that applies to common law claims for damages for personal injury in cases other than workplace injuries or transport accidents</w:t>
      </w:r>
      <w:r>
        <w:rPr>
          <w:color w:val="000000"/>
        </w:rPr>
        <w:t>.</w:t>
      </w:r>
    </w:p>
    <w:p w14:paraId="6B0B11B3" w14:textId="3BECC50E" w:rsidR="006D31F5" w:rsidRDefault="006D31F5" w:rsidP="00A5500D">
      <w:pPr>
        <w:pStyle w:val="SWADisclaimerheading"/>
        <w:rPr>
          <w:i/>
          <w:iCs/>
          <w:sz w:val="20"/>
          <w:szCs w:val="20"/>
        </w:rPr>
      </w:pPr>
      <w:r w:rsidRPr="00A5500D">
        <w:rPr>
          <w:i/>
          <w:iCs/>
          <w:sz w:val="20"/>
          <w:szCs w:val="20"/>
        </w:rPr>
        <w:t>Scenario</w:t>
      </w:r>
      <w:r w:rsidR="00CF4828">
        <w:rPr>
          <w:i/>
          <w:iCs/>
          <w:sz w:val="20"/>
          <w:szCs w:val="20"/>
        </w:rPr>
        <w:t>:</w:t>
      </w:r>
      <w:r w:rsidR="002E2B12">
        <w:rPr>
          <w:i/>
          <w:iCs/>
          <w:sz w:val="20"/>
          <w:szCs w:val="20"/>
        </w:rPr>
        <w:t xml:space="preserve"> </w:t>
      </w:r>
      <w:r w:rsidRPr="00A5500D">
        <w:rPr>
          <w:i/>
          <w:iCs/>
          <w:sz w:val="20"/>
          <w:szCs w:val="20"/>
        </w:rPr>
        <w:t>The employee and family circumstances in this scenario are the same as the previous example, but in this case the workplace incident resulted in death</w:t>
      </w:r>
      <w:r w:rsidR="0007618B" w:rsidRPr="00A5500D">
        <w:rPr>
          <w:i/>
          <w:iCs/>
          <w:sz w:val="20"/>
          <w:szCs w:val="20"/>
        </w:rPr>
        <w:t xml:space="preserve"> on 1 January </w:t>
      </w:r>
      <w:r w:rsidR="0007375D">
        <w:rPr>
          <w:i/>
          <w:iCs/>
          <w:sz w:val="20"/>
          <w:szCs w:val="20"/>
        </w:rPr>
        <w:t>20</w:t>
      </w:r>
      <w:r w:rsidR="000574E1">
        <w:rPr>
          <w:i/>
          <w:iCs/>
          <w:sz w:val="20"/>
          <w:szCs w:val="20"/>
        </w:rPr>
        <w:t>20</w:t>
      </w:r>
      <w:r w:rsidRPr="00A5500D">
        <w:rPr>
          <w:i/>
          <w:iCs/>
          <w:sz w:val="20"/>
          <w:szCs w:val="20"/>
        </w:rPr>
        <w:t>. The spouse did not re-enter the workforce or re-marry for 10 years.</w:t>
      </w:r>
    </w:p>
    <w:p w14:paraId="2ED01410" w14:textId="01360861" w:rsidR="00144F53" w:rsidRDefault="006D31F5" w:rsidP="00C811CD">
      <w:pPr>
        <w:pStyle w:val="BodyJustified"/>
      </w:pPr>
      <w:r>
        <w:t xml:space="preserve">Indicator </w:t>
      </w:r>
      <w:r w:rsidR="00D36409">
        <w:rPr>
          <w:noProof/>
        </w:rPr>
        <w:t>16</w:t>
      </w:r>
      <w:r>
        <w:t xml:space="preserve"> shows </w:t>
      </w:r>
      <w:r w:rsidR="00144F53">
        <w:t>the</w:t>
      </w:r>
      <w:r>
        <w:t xml:space="preserve"> total entitlements payable to </w:t>
      </w:r>
      <w:proofErr w:type="spellStart"/>
      <w:r w:rsidR="000452DF" w:rsidRPr="00EC0140">
        <w:t>dependant</w:t>
      </w:r>
      <w:r w:rsidRPr="00EC0140">
        <w:t>s</w:t>
      </w:r>
      <w:proofErr w:type="spellEnd"/>
      <w:r>
        <w:t xml:space="preserve"> in the case of a fatality varied across jurisdictions. </w:t>
      </w:r>
      <w:r w:rsidR="00144F53">
        <w:t xml:space="preserve">In particular: </w:t>
      </w:r>
    </w:p>
    <w:p w14:paraId="119BF774" w14:textId="10EC28C3" w:rsidR="00144F53" w:rsidRDefault="000574E1" w:rsidP="000574E1">
      <w:pPr>
        <w:pStyle w:val="BodyJustified"/>
        <w:numPr>
          <w:ilvl w:val="0"/>
          <w:numId w:val="30"/>
        </w:numPr>
      </w:pPr>
      <w:r>
        <w:t>South Australia</w:t>
      </w:r>
      <w:r w:rsidR="00986439">
        <w:t xml:space="preserve"> </w:t>
      </w:r>
      <w:r w:rsidR="006D31F5">
        <w:t xml:space="preserve">provided the highest entitlement payable to </w:t>
      </w:r>
      <w:proofErr w:type="spellStart"/>
      <w:r w:rsidR="000452DF" w:rsidRPr="00EC0140">
        <w:t>dependant</w:t>
      </w:r>
      <w:r w:rsidR="006D31F5" w:rsidRPr="00EC0140">
        <w:t>s</w:t>
      </w:r>
      <w:proofErr w:type="spellEnd"/>
      <w:r w:rsidR="006D31F5">
        <w:t xml:space="preserve"> in Australia following a workplace incident resulting in a fatality </w:t>
      </w:r>
      <w:r w:rsidR="006D31F5">
        <w:rPr>
          <w:spacing w:val="-4"/>
        </w:rPr>
        <w:t>at the amount of $</w:t>
      </w:r>
      <w:r>
        <w:rPr>
          <w:spacing w:val="-4"/>
        </w:rPr>
        <w:t>1,048,762.</w:t>
      </w:r>
      <w:r w:rsidR="006D31F5">
        <w:rPr>
          <w:spacing w:val="-4"/>
        </w:rPr>
        <w:t xml:space="preserve"> </w:t>
      </w:r>
      <w:r>
        <w:t>This was followed by New South Wales ($984</w:t>
      </w:r>
      <w:r>
        <w:rPr>
          <w:spacing w:val="-4"/>
        </w:rPr>
        <w:t>,103)</w:t>
      </w:r>
      <w:bookmarkStart w:id="17" w:name="_Hlk54682785"/>
      <w:r>
        <w:rPr>
          <w:spacing w:val="-4"/>
        </w:rPr>
        <w:t>.</w:t>
      </w:r>
    </w:p>
    <w:p w14:paraId="2C67E170" w14:textId="13BB923D" w:rsidR="00144F53" w:rsidRDefault="006D31F5" w:rsidP="00144F53">
      <w:pPr>
        <w:pStyle w:val="BodyJustified"/>
        <w:numPr>
          <w:ilvl w:val="0"/>
          <w:numId w:val="30"/>
        </w:numPr>
      </w:pPr>
      <w:r>
        <w:t xml:space="preserve">The lowest entitlements for a fatality were provided in </w:t>
      </w:r>
      <w:r w:rsidR="0043664B">
        <w:t>Tasmania ($</w:t>
      </w:r>
      <w:r w:rsidR="000574E1">
        <w:t>702,796</w:t>
      </w:r>
      <w:r w:rsidR="0043664B">
        <w:t>) and Western Australia ($</w:t>
      </w:r>
      <w:r w:rsidR="000574E1">
        <w:t>736</w:t>
      </w:r>
      <w:r w:rsidR="0043664B">
        <w:t>,</w:t>
      </w:r>
      <w:r w:rsidR="000574E1">
        <w:t>853</w:t>
      </w:r>
      <w:r w:rsidR="0043664B">
        <w:t>)</w:t>
      </w:r>
      <w:r>
        <w:t xml:space="preserve">. </w:t>
      </w:r>
    </w:p>
    <w:p w14:paraId="46FAB9EE" w14:textId="44C6E2A3" w:rsidR="006D31F5" w:rsidRPr="0002740D" w:rsidRDefault="006D31F5" w:rsidP="0002740D">
      <w:pPr>
        <w:pStyle w:val="SWASectionnum3"/>
        <w:numPr>
          <w:ilvl w:val="0"/>
          <w:numId w:val="0"/>
        </w:numPr>
        <w:spacing w:before="120" w:after="120"/>
        <w:rPr>
          <w:sz w:val="20"/>
          <w:szCs w:val="20"/>
        </w:rPr>
      </w:pPr>
      <w:bookmarkStart w:id="18" w:name="_Ref464026329"/>
      <w:bookmarkStart w:id="19" w:name="_Toc86056328"/>
      <w:bookmarkEnd w:id="17"/>
      <w:r w:rsidRPr="0002740D">
        <w:rPr>
          <w:sz w:val="20"/>
          <w:szCs w:val="20"/>
        </w:rPr>
        <w:lastRenderedPageBreak/>
        <w:t>Indicator 1</w:t>
      </w:r>
      <w:bookmarkEnd w:id="18"/>
      <w:r w:rsidR="00535035" w:rsidRPr="0002740D">
        <w:rPr>
          <w:sz w:val="20"/>
          <w:szCs w:val="20"/>
        </w:rPr>
        <w:t>6</w:t>
      </w:r>
      <w:r w:rsidRPr="0002740D">
        <w:rPr>
          <w:sz w:val="20"/>
          <w:szCs w:val="20"/>
        </w:rPr>
        <w:t xml:space="preserve"> – Entitlements for permanent incapacity or fatality as at 1 January 20</w:t>
      </w:r>
      <w:r w:rsidR="000574E1" w:rsidRPr="0002740D">
        <w:rPr>
          <w:sz w:val="20"/>
          <w:szCs w:val="20"/>
        </w:rPr>
        <w:t>20</w:t>
      </w:r>
      <w:bookmarkEnd w:id="19"/>
      <w:r w:rsidR="0013431C" w:rsidRPr="0002740D">
        <w:rPr>
          <w:sz w:val="20"/>
          <w:szCs w:val="20"/>
        </w:rPr>
        <w:t xml:space="preserve"> </w:t>
      </w:r>
    </w:p>
    <w:p w14:paraId="007F5CFF" w14:textId="100EE009" w:rsidR="00EA22C0" w:rsidRDefault="00E04472" w:rsidP="00716724">
      <w:pPr>
        <w:pStyle w:val="BodyTextindented"/>
        <w:ind w:left="0"/>
        <w:jc w:val="center"/>
      </w:pPr>
      <w:r>
        <w:rPr>
          <w:noProof/>
        </w:rPr>
        <w:drawing>
          <wp:inline distT="0" distB="0" distL="0" distR="0" wp14:anchorId="246D5B66" wp14:editId="26CF0521">
            <wp:extent cx="6160642" cy="30289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62479" cy="3029853"/>
                    </a:xfrm>
                    <a:prstGeom prst="rect">
                      <a:avLst/>
                    </a:prstGeom>
                    <a:noFill/>
                  </pic:spPr>
                </pic:pic>
              </a:graphicData>
            </a:graphic>
          </wp:inline>
        </w:drawing>
      </w:r>
    </w:p>
    <w:p w14:paraId="0CA9662C" w14:textId="2E182023" w:rsidR="006D31F5" w:rsidRPr="00894563" w:rsidRDefault="006D31F5" w:rsidP="006D31F5">
      <w:pPr>
        <w:pStyle w:val="Footnote"/>
      </w:pPr>
      <w:r w:rsidRPr="00894563">
        <w:t xml:space="preserve">Notes: </w:t>
      </w:r>
    </w:p>
    <w:p w14:paraId="57D1633E" w14:textId="0A6D1078" w:rsidR="003C5AE3" w:rsidRDefault="00C55876" w:rsidP="00FF31C9">
      <w:pPr>
        <w:pStyle w:val="Footnote"/>
        <w:spacing w:before="0" w:after="113"/>
      </w:pPr>
      <w:r>
        <w:t>n/a</w:t>
      </w:r>
      <w:r w:rsidR="003C5AE3">
        <w:t xml:space="preserve"> – not applicable. </w:t>
      </w:r>
      <w:r w:rsidR="00FF31C9">
        <w:t xml:space="preserve">See </w:t>
      </w:r>
      <w:r w:rsidR="00FF31C9" w:rsidRPr="00551D6C">
        <w:rPr>
          <w:i/>
          <w:iCs/>
        </w:rPr>
        <w:t xml:space="preserve">Appendix </w:t>
      </w:r>
      <w:r w:rsidR="00FF31C9">
        <w:rPr>
          <w:i/>
          <w:iCs/>
        </w:rPr>
        <w:t>1</w:t>
      </w:r>
      <w:r w:rsidR="00FF31C9" w:rsidRPr="00551D6C">
        <w:rPr>
          <w:i/>
          <w:iCs/>
        </w:rPr>
        <w:t xml:space="preserve">: </w:t>
      </w:r>
      <w:r w:rsidR="00FF31C9">
        <w:rPr>
          <w:i/>
          <w:iCs/>
        </w:rPr>
        <w:t>N</w:t>
      </w:r>
      <w:r w:rsidR="00FF31C9" w:rsidRPr="00551D6C">
        <w:rPr>
          <w:i/>
          <w:iCs/>
        </w:rPr>
        <w:t>otes</w:t>
      </w:r>
      <w:r w:rsidR="00FF31C9">
        <w:t xml:space="preserve"> </w:t>
      </w:r>
      <w:r w:rsidR="00FF31C9" w:rsidRPr="00FF31C9">
        <w:rPr>
          <w:i/>
          <w:iCs/>
        </w:rPr>
        <w:t>for Indicator 15 and 16</w:t>
      </w:r>
      <w:r w:rsidR="00FF31C9">
        <w:t xml:space="preserve"> for further information.</w:t>
      </w:r>
    </w:p>
    <w:p w14:paraId="7A35CB8C" w14:textId="6E5B0091" w:rsidR="000574E1" w:rsidRDefault="00ED0F14" w:rsidP="00C55876">
      <w:pPr>
        <w:pStyle w:val="Footnote"/>
        <w:spacing w:before="0"/>
      </w:pPr>
      <w:r>
        <w:t>These figures are</w:t>
      </w:r>
      <w:r w:rsidR="006E4E40">
        <w:t xml:space="preserve"> calculated</w:t>
      </w:r>
      <w:r>
        <w:t xml:space="preserve"> based on entitlements as at 1 January 2020.</w:t>
      </w:r>
      <w:r w:rsidR="000616F6">
        <w:t xml:space="preserve"> </w:t>
      </w:r>
      <w:r>
        <w:t xml:space="preserve">Many payments made by the jurisdictions are </w:t>
      </w:r>
      <w:r w:rsidRPr="00FC5A64">
        <w:t xml:space="preserve">indexed </w:t>
      </w:r>
      <w:r>
        <w:t>regularly and th</w:t>
      </w:r>
      <w:r w:rsidR="006E4E40">
        <w:t xml:space="preserve">ese have generally been excluded </w:t>
      </w:r>
      <w:r>
        <w:t>when estimating payments for the scenarios</w:t>
      </w:r>
      <w:r w:rsidR="006E4E40">
        <w:t xml:space="preserve"> (as they are not yet known)</w:t>
      </w:r>
      <w:r>
        <w:t>.</w:t>
      </w:r>
    </w:p>
    <w:p w14:paraId="562D4B8D" w14:textId="77777777" w:rsidR="005438C9" w:rsidRDefault="005438C9" w:rsidP="005438C9">
      <w:pPr>
        <w:pStyle w:val="SWASectionnum3"/>
        <w:numPr>
          <w:ilvl w:val="0"/>
          <w:numId w:val="0"/>
        </w:numPr>
        <w:rPr>
          <w:sz w:val="20"/>
          <w:szCs w:val="20"/>
        </w:rPr>
        <w:sectPr w:rsidR="005438C9" w:rsidSect="009160E8">
          <w:headerReference w:type="even" r:id="rId21"/>
          <w:headerReference w:type="default" r:id="rId22"/>
          <w:footerReference w:type="even" r:id="rId23"/>
          <w:footerReference w:type="default" r:id="rId24"/>
          <w:pgSz w:w="11906" w:h="16838"/>
          <w:pgMar w:top="993" w:right="1274" w:bottom="851" w:left="964" w:header="720" w:footer="720" w:gutter="0"/>
          <w:cols w:space="720"/>
          <w:noEndnote/>
          <w:docGrid w:linePitch="299"/>
        </w:sectPr>
      </w:pPr>
      <w:bookmarkStart w:id="20" w:name="_Hlk55226665"/>
    </w:p>
    <w:p w14:paraId="5830D639" w14:textId="2618AC2E" w:rsidR="004C7A6C" w:rsidRDefault="004C7A6C" w:rsidP="0064029A">
      <w:pPr>
        <w:pStyle w:val="SWASectionnum2"/>
        <w:numPr>
          <w:ilvl w:val="0"/>
          <w:numId w:val="0"/>
        </w:numPr>
        <w:spacing w:before="0"/>
      </w:pPr>
      <w:bookmarkStart w:id="21" w:name="_Toc86056329"/>
      <w:bookmarkEnd w:id="20"/>
      <w:r>
        <w:lastRenderedPageBreak/>
        <w:t xml:space="preserve">Appendix </w:t>
      </w:r>
      <w:r w:rsidR="004D3ED4">
        <w:t>1</w:t>
      </w:r>
      <w:r>
        <w:t xml:space="preserve"> – Notes</w:t>
      </w:r>
      <w:r w:rsidR="004D3ED4">
        <w:t xml:space="preserve"> for Indicator 15 and 16</w:t>
      </w:r>
      <w:bookmarkEnd w:id="21"/>
    </w:p>
    <w:p w14:paraId="5321CCD4" w14:textId="77777777" w:rsidR="00F10FDA" w:rsidRPr="000C66E2" w:rsidRDefault="00F10FDA" w:rsidP="001B20B1">
      <w:pPr>
        <w:pStyle w:val="Appendixtablehead"/>
        <w:numPr>
          <w:ilvl w:val="0"/>
          <w:numId w:val="47"/>
        </w:numPr>
        <w:spacing w:after="60" w:line="240" w:lineRule="auto"/>
        <w:ind w:left="357" w:hanging="357"/>
        <w:rPr>
          <w:lang w:val="en-US"/>
        </w:rPr>
      </w:pPr>
      <w:bookmarkStart w:id="22" w:name="_Hlk80966108"/>
      <w:r w:rsidRPr="000C66E2">
        <w:rPr>
          <w:lang w:val="en-US"/>
        </w:rPr>
        <w:t xml:space="preserve">New South Wales: </w:t>
      </w:r>
    </w:p>
    <w:bookmarkEnd w:id="22"/>
    <w:p w14:paraId="52BBC605" w14:textId="25F249C5" w:rsidR="00F10FDA" w:rsidRPr="000C66E2" w:rsidRDefault="00CE6815" w:rsidP="000E2714">
      <w:pPr>
        <w:pStyle w:val="Footnotecompressed"/>
        <w:numPr>
          <w:ilvl w:val="1"/>
          <w:numId w:val="47"/>
        </w:numPr>
        <w:ind w:left="431" w:hanging="431"/>
      </w:pPr>
      <w:r w:rsidRPr="000C66E2">
        <w:t xml:space="preserve">Indicator 15: </w:t>
      </w:r>
      <w:r w:rsidR="00FB1469" w:rsidRPr="000C66E2">
        <w:t>In New South Wales maximum weekly payments are capped</w:t>
      </w:r>
      <w:r w:rsidR="00AC1212" w:rsidRPr="000C66E2">
        <w:t xml:space="preserve"> at $2,195.70</w:t>
      </w:r>
      <w:r w:rsidR="00FB1469" w:rsidRPr="000C66E2">
        <w:t xml:space="preserve">. </w:t>
      </w:r>
    </w:p>
    <w:p w14:paraId="08A881F7" w14:textId="70D09F21" w:rsidR="00F10FDA" w:rsidRPr="000C66E2" w:rsidRDefault="00F10FDA" w:rsidP="000E2714">
      <w:pPr>
        <w:pStyle w:val="Footnotecompressed"/>
        <w:numPr>
          <w:ilvl w:val="1"/>
          <w:numId w:val="47"/>
        </w:numPr>
        <w:ind w:left="431" w:hanging="431"/>
      </w:pPr>
      <w:r w:rsidRPr="000C66E2">
        <w:t xml:space="preserve">Indicator 16: For the statutory lump sum it </w:t>
      </w:r>
      <w:r w:rsidR="00730894" w:rsidRPr="000C66E2">
        <w:t xml:space="preserve">is </w:t>
      </w:r>
      <w:r w:rsidRPr="000C66E2">
        <w:t xml:space="preserve">assumed that the worker would be assessed with a permanent impairment of over 75%. If the whole impairment is to the back, then a 5% increase </w:t>
      </w:r>
      <w:r w:rsidR="00FB1469" w:rsidRPr="000C66E2">
        <w:t xml:space="preserve">to the lump sum benefit </w:t>
      </w:r>
      <w:r w:rsidRPr="000C66E2">
        <w:t xml:space="preserve">applies (see s66(2A) of the </w:t>
      </w:r>
      <w:r w:rsidR="00AC1212" w:rsidRPr="000C66E2">
        <w:rPr>
          <w:i/>
          <w:iCs/>
        </w:rPr>
        <w:t xml:space="preserve">Workers Compensation Act </w:t>
      </w:r>
      <w:r w:rsidRPr="000C66E2">
        <w:rPr>
          <w:i/>
          <w:iCs/>
        </w:rPr>
        <w:t>1987</w:t>
      </w:r>
      <w:r w:rsidR="00AC1212" w:rsidRPr="000C66E2">
        <w:t xml:space="preserve"> (</w:t>
      </w:r>
      <w:r w:rsidR="00AC1212" w:rsidRPr="000C66E2">
        <w:rPr>
          <w:i/>
          <w:iCs/>
        </w:rPr>
        <w:t>NSW</w:t>
      </w:r>
      <w:r w:rsidR="00AC1212" w:rsidRPr="000C66E2">
        <w:t>)</w:t>
      </w:r>
      <w:r w:rsidRPr="000C66E2">
        <w:t>). This will give the worker an entitlement to the maximum lump sum benefit of $619,000 plus an additional 5% ($30,950)</w:t>
      </w:r>
      <w:r w:rsidR="00AA2148" w:rsidRPr="000C66E2">
        <w:t>, giving a total of $649,950</w:t>
      </w:r>
      <w:r w:rsidRPr="000C66E2">
        <w:t xml:space="preserve"> (as at 1 January 2020). </w:t>
      </w:r>
    </w:p>
    <w:p w14:paraId="0C061B96" w14:textId="77777777" w:rsidR="00F10FDA" w:rsidRPr="000C66E2" w:rsidRDefault="00F10FDA" w:rsidP="00F10FDA">
      <w:pPr>
        <w:pStyle w:val="Footnotecompressed"/>
        <w:numPr>
          <w:ilvl w:val="0"/>
          <w:numId w:val="0"/>
        </w:numPr>
        <w:tabs>
          <w:tab w:val="left" w:pos="426"/>
        </w:tabs>
        <w:ind w:left="426" w:hanging="426"/>
      </w:pPr>
    </w:p>
    <w:p w14:paraId="64B5BE39" w14:textId="03508DFB" w:rsidR="00AA2148" w:rsidRPr="000C66E2" w:rsidRDefault="00AA2148" w:rsidP="001B20B1">
      <w:pPr>
        <w:pStyle w:val="Appendixtablehead"/>
        <w:numPr>
          <w:ilvl w:val="0"/>
          <w:numId w:val="47"/>
        </w:numPr>
        <w:spacing w:after="60" w:line="240" w:lineRule="auto"/>
        <w:ind w:left="357" w:hanging="357"/>
        <w:rPr>
          <w:lang w:val="en-US"/>
        </w:rPr>
      </w:pPr>
      <w:r w:rsidRPr="000C66E2">
        <w:rPr>
          <w:lang w:val="en-US"/>
        </w:rPr>
        <w:t>Victoria:</w:t>
      </w:r>
    </w:p>
    <w:p w14:paraId="44638D55" w14:textId="4792F57B" w:rsidR="00AA2148" w:rsidRPr="000C66E2" w:rsidRDefault="00AA2148" w:rsidP="00DD1676">
      <w:pPr>
        <w:pStyle w:val="Appendixtablehead"/>
        <w:numPr>
          <w:ilvl w:val="1"/>
          <w:numId w:val="47"/>
        </w:numPr>
        <w:spacing w:after="0" w:line="240" w:lineRule="auto"/>
        <w:ind w:left="431" w:hanging="431"/>
        <w:rPr>
          <w:b w:val="0"/>
          <w:bCs/>
          <w:sz w:val="16"/>
          <w:szCs w:val="16"/>
          <w:lang w:val="en-US"/>
        </w:rPr>
      </w:pPr>
      <w:r w:rsidRPr="000C66E2">
        <w:rPr>
          <w:b w:val="0"/>
          <w:bCs/>
          <w:sz w:val="16"/>
          <w:szCs w:val="16"/>
          <w:lang w:val="en-US"/>
        </w:rPr>
        <w:t>Indicator 15: The Victorian statutory maximum for week</w:t>
      </w:r>
      <w:r w:rsidR="00DD1676" w:rsidRPr="000C66E2">
        <w:rPr>
          <w:b w:val="0"/>
          <w:bCs/>
          <w:sz w:val="16"/>
          <w:szCs w:val="16"/>
          <w:lang w:val="en-US"/>
        </w:rPr>
        <w:t>ly payments during week</w:t>
      </w:r>
      <w:r w:rsidRPr="000C66E2">
        <w:rPr>
          <w:b w:val="0"/>
          <w:bCs/>
          <w:sz w:val="16"/>
          <w:szCs w:val="16"/>
          <w:lang w:val="en-US"/>
        </w:rPr>
        <w:t xml:space="preserve"> 0-52 is $2,380</w:t>
      </w:r>
      <w:r w:rsidR="00DD1676" w:rsidRPr="000C66E2">
        <w:rPr>
          <w:b w:val="0"/>
          <w:bCs/>
          <w:sz w:val="16"/>
          <w:szCs w:val="16"/>
          <w:lang w:val="en-US"/>
        </w:rPr>
        <w:t>.</w:t>
      </w:r>
    </w:p>
    <w:p w14:paraId="6BE0574F" w14:textId="21290840" w:rsidR="00DD1676" w:rsidRDefault="00DD1676" w:rsidP="001B20B1">
      <w:pPr>
        <w:pStyle w:val="Appendixtablehead"/>
        <w:numPr>
          <w:ilvl w:val="1"/>
          <w:numId w:val="47"/>
        </w:numPr>
        <w:spacing w:after="0" w:line="240" w:lineRule="auto"/>
        <w:ind w:left="431" w:hanging="431"/>
        <w:rPr>
          <w:b w:val="0"/>
          <w:bCs/>
          <w:sz w:val="16"/>
          <w:szCs w:val="16"/>
          <w:lang w:val="en-US"/>
        </w:rPr>
      </w:pPr>
      <w:r w:rsidRPr="000C66E2">
        <w:rPr>
          <w:b w:val="0"/>
          <w:bCs/>
          <w:sz w:val="16"/>
          <w:szCs w:val="16"/>
          <w:lang w:val="en-US"/>
        </w:rPr>
        <w:t>Indicator 15: For the periods that the worker worked within the first 13 weeks, they will be entitled to 95% of their pre-injury average weekly earnings, minus 100% of their current weekly earnings. For the periods that the worker worked within weeks 14-130, they will be entitled to 80% of their pre-injury average weekly earnings, minus 80% of their current weekly earnings.</w:t>
      </w:r>
    </w:p>
    <w:p w14:paraId="3E2E40E3" w14:textId="77777777" w:rsidR="000C66E2" w:rsidRPr="000C66E2" w:rsidRDefault="000C66E2" w:rsidP="000C66E2">
      <w:pPr>
        <w:pStyle w:val="Appendixtablehead"/>
        <w:spacing w:after="0" w:line="240" w:lineRule="auto"/>
        <w:ind w:left="431" w:firstLine="0"/>
        <w:rPr>
          <w:b w:val="0"/>
          <w:bCs/>
          <w:sz w:val="16"/>
          <w:szCs w:val="16"/>
          <w:lang w:val="en-US"/>
        </w:rPr>
      </w:pPr>
    </w:p>
    <w:p w14:paraId="5DED438B" w14:textId="5B04DD97" w:rsidR="00F10FDA" w:rsidRPr="000C66E2" w:rsidRDefault="00F10FDA" w:rsidP="000C66E2">
      <w:pPr>
        <w:pStyle w:val="Appendixtablehead"/>
        <w:numPr>
          <w:ilvl w:val="0"/>
          <w:numId w:val="47"/>
        </w:numPr>
        <w:spacing w:after="60" w:line="240" w:lineRule="auto"/>
        <w:ind w:left="357" w:hanging="357"/>
        <w:rPr>
          <w:lang w:val="en-US"/>
        </w:rPr>
      </w:pPr>
      <w:r w:rsidRPr="000C66E2">
        <w:rPr>
          <w:lang w:val="en-US"/>
        </w:rPr>
        <w:t>Queensland:</w:t>
      </w:r>
    </w:p>
    <w:p w14:paraId="16921CE9" w14:textId="4F8D134A" w:rsidR="00F10FDA" w:rsidRDefault="001B20B1" w:rsidP="00AC11CA">
      <w:pPr>
        <w:pStyle w:val="Footnotecompressed"/>
        <w:numPr>
          <w:ilvl w:val="0"/>
          <w:numId w:val="0"/>
        </w:numPr>
        <w:ind w:left="425" w:hanging="425"/>
      </w:pPr>
      <w:r w:rsidRPr="000C66E2">
        <w:t>3</w:t>
      </w:r>
      <w:r w:rsidR="00F10FDA" w:rsidRPr="000C66E2">
        <w:t>.</w:t>
      </w:r>
      <w:r w:rsidR="00E8238F">
        <w:t>1</w:t>
      </w:r>
      <w:r w:rsidR="00F10FDA" w:rsidRPr="000C66E2">
        <w:tab/>
        <w:t>Indicator 15: Workers are paid a proportion of their normal weekly earnings (NWE) or a percentage of the seasonally adjusted amount of Queensland full time adult persons ordinary time earnings (QOTE) (i</w:t>
      </w:r>
      <w:r w:rsidR="006D6B75">
        <w:t>.</w:t>
      </w:r>
      <w:r w:rsidR="00F10FDA" w:rsidRPr="000C66E2">
        <w:t>e</w:t>
      </w:r>
      <w:r w:rsidR="006D6B75">
        <w:t>.</w:t>
      </w:r>
      <w:r w:rsidR="00F10FDA" w:rsidRPr="000C66E2">
        <w:t xml:space="preserve"> 0 to 26 weeks 85% NWE or Award; 26 to 52</w:t>
      </w:r>
      <w:r w:rsidR="00485080">
        <w:t> </w:t>
      </w:r>
      <w:r w:rsidR="00F10FDA" w:rsidRPr="000C66E2">
        <w:t>weeks 75% NWE or 70% QOTE). The amounts provided here are the higher amounts of the two possible payment</w:t>
      </w:r>
      <w:r w:rsidRPr="000C66E2">
        <w:t>s.</w:t>
      </w:r>
    </w:p>
    <w:p w14:paraId="3372EA27" w14:textId="4EB311A6" w:rsidR="00E8238F" w:rsidRDefault="00E8238F" w:rsidP="000E2714">
      <w:pPr>
        <w:pStyle w:val="Footnotecompressed"/>
        <w:numPr>
          <w:ilvl w:val="0"/>
          <w:numId w:val="0"/>
        </w:numPr>
        <w:spacing w:after="60"/>
        <w:ind w:left="425" w:hanging="425"/>
      </w:pPr>
      <w:r>
        <w:t>3</w:t>
      </w:r>
      <w:r w:rsidRPr="00E8238F">
        <w:t>.</w:t>
      </w:r>
      <w:r>
        <w:t>2</w:t>
      </w:r>
      <w:r w:rsidRPr="00E8238F">
        <w:tab/>
        <w:t xml:space="preserve">Indicator 16: Common Law is uncapped in </w:t>
      </w:r>
      <w:r w:rsidR="00276C7E">
        <w:t>Queensland</w:t>
      </w:r>
      <w:r w:rsidRPr="00E8238F">
        <w:t xml:space="preserve">, so an amount is unable to be determined.  </w:t>
      </w:r>
    </w:p>
    <w:p w14:paraId="284FE040" w14:textId="77777777" w:rsidR="000C66E2" w:rsidRPr="000C66E2" w:rsidRDefault="000C66E2" w:rsidP="000C66E2">
      <w:pPr>
        <w:pStyle w:val="Footnotecompressed"/>
        <w:numPr>
          <w:ilvl w:val="0"/>
          <w:numId w:val="0"/>
        </w:numPr>
        <w:spacing w:after="60"/>
      </w:pPr>
    </w:p>
    <w:p w14:paraId="5AC346F9" w14:textId="77777777" w:rsidR="00337E79" w:rsidRPr="000C66E2" w:rsidRDefault="00337E79" w:rsidP="001B20B1">
      <w:pPr>
        <w:pStyle w:val="Appendixtablehead"/>
        <w:numPr>
          <w:ilvl w:val="0"/>
          <w:numId w:val="47"/>
        </w:numPr>
        <w:spacing w:after="60" w:line="240" w:lineRule="auto"/>
        <w:ind w:left="357" w:hanging="357"/>
        <w:rPr>
          <w:lang w:val="en-US"/>
        </w:rPr>
      </w:pPr>
      <w:r w:rsidRPr="000C66E2">
        <w:rPr>
          <w:lang w:val="en-US"/>
        </w:rPr>
        <w:t xml:space="preserve">Western Australia: </w:t>
      </w:r>
    </w:p>
    <w:p w14:paraId="513EBCCE" w14:textId="7C104002" w:rsidR="004D3ED4" w:rsidRPr="000C66E2" w:rsidRDefault="004D3ED4" w:rsidP="009E7F0D">
      <w:pPr>
        <w:pStyle w:val="Footnotecompressed"/>
        <w:numPr>
          <w:ilvl w:val="1"/>
          <w:numId w:val="47"/>
        </w:numPr>
      </w:pPr>
      <w:r w:rsidRPr="000C66E2">
        <w:t>Indicator 15</w:t>
      </w:r>
      <w:r w:rsidR="00835EBE" w:rsidRPr="000C66E2">
        <w:t xml:space="preserve">: </w:t>
      </w:r>
      <w:r w:rsidR="00337E79" w:rsidRPr="000C66E2">
        <w:t xml:space="preserve">There are differences in how award and non-award workers receive statutory benefits. Non-award workers are subject to a step-down to 85% pre-injury earnings after 13 weeks. Award workers are not subject to any step-down. In this example, the </w:t>
      </w:r>
      <w:proofErr w:type="gramStart"/>
      <w:r w:rsidR="00337E79" w:rsidRPr="000C66E2">
        <w:t>low income</w:t>
      </w:r>
      <w:proofErr w:type="gramEnd"/>
      <w:r w:rsidR="00337E79" w:rsidRPr="000C66E2">
        <w:t xml:space="preserve"> earner is based on an award worker, whereas the middle and high income earners are based on non-award workers. </w:t>
      </w:r>
      <w:proofErr w:type="gramStart"/>
      <w:r w:rsidR="00337E79" w:rsidRPr="000C66E2">
        <w:t>Therefore</w:t>
      </w:r>
      <w:proofErr w:type="gramEnd"/>
      <w:r w:rsidR="00337E79" w:rsidRPr="000C66E2">
        <w:t xml:space="preserve"> caution should be used when making comparisons between the pre-injury income examples. If all three scenarios used award workers, percentage of pre-injury earnings payable would be 100% in all examples. </w:t>
      </w:r>
    </w:p>
    <w:p w14:paraId="162E918D" w14:textId="1407F532" w:rsidR="00337E79" w:rsidRPr="000C66E2" w:rsidRDefault="004D3ED4" w:rsidP="009E7F0D">
      <w:pPr>
        <w:pStyle w:val="Footnotecompressed"/>
        <w:numPr>
          <w:ilvl w:val="1"/>
          <w:numId w:val="47"/>
        </w:numPr>
      </w:pPr>
      <w:r w:rsidRPr="000C66E2">
        <w:t xml:space="preserve">Indicator 15: A </w:t>
      </w:r>
      <w:r w:rsidR="00337E79" w:rsidRPr="000C66E2">
        <w:t>cap on weekly earnings set at twice the annual Average Weekly Earnings (WA) as published by the Australian Bureau of Statistics each year</w:t>
      </w:r>
      <w:r w:rsidRPr="000C66E2">
        <w:t xml:space="preserve"> is </w:t>
      </w:r>
      <w:r w:rsidR="00337E79" w:rsidRPr="000C66E2">
        <w:t xml:space="preserve">applied to all income levels. This means the </w:t>
      </w:r>
      <w:proofErr w:type="gramStart"/>
      <w:r w:rsidR="00337E79" w:rsidRPr="000C66E2">
        <w:t>middle and high income</w:t>
      </w:r>
      <w:proofErr w:type="gramEnd"/>
      <w:r w:rsidR="00337E79" w:rsidRPr="000C66E2">
        <w:t xml:space="preserve"> earner would exhaust the prescribed total amount for weekly benefit before 130 weeks of compensation.</w:t>
      </w:r>
    </w:p>
    <w:p w14:paraId="6D906C74" w14:textId="0C2804FA" w:rsidR="00CE6815" w:rsidRPr="000C66E2" w:rsidRDefault="00CE6815" w:rsidP="00CE6815">
      <w:pPr>
        <w:pStyle w:val="Footnotecompressed"/>
        <w:numPr>
          <w:ilvl w:val="1"/>
          <w:numId w:val="47"/>
        </w:numPr>
      </w:pPr>
      <w:r w:rsidRPr="000C66E2">
        <w:t xml:space="preserve">Indicator 16: A cap on common law benefits applies for injuries with more than 15% to less than 25% whole of person impairment (WPI). However, in this example no common law cap has been applied as the impairment would likely exceed the 25% or more WPI threshold. </w:t>
      </w:r>
    </w:p>
    <w:p w14:paraId="0311A5A8" w14:textId="77777777" w:rsidR="002E0955" w:rsidRPr="000C66E2" w:rsidRDefault="002E0955" w:rsidP="002E0955">
      <w:pPr>
        <w:pStyle w:val="Footnotecompressed"/>
        <w:numPr>
          <w:ilvl w:val="0"/>
          <w:numId w:val="0"/>
        </w:numPr>
        <w:ind w:left="432"/>
      </w:pPr>
    </w:p>
    <w:p w14:paraId="09CCD20E" w14:textId="143B4B0D" w:rsidR="00337E79" w:rsidRPr="000C66E2" w:rsidRDefault="00337E79" w:rsidP="000C66E2">
      <w:pPr>
        <w:pStyle w:val="Appendixtablehead"/>
        <w:numPr>
          <w:ilvl w:val="0"/>
          <w:numId w:val="47"/>
        </w:numPr>
        <w:spacing w:after="60" w:line="240" w:lineRule="auto"/>
        <w:ind w:left="357" w:hanging="357"/>
        <w:rPr>
          <w:lang w:val="en-US"/>
        </w:rPr>
      </w:pPr>
      <w:r w:rsidRPr="000C66E2">
        <w:rPr>
          <w:lang w:val="en-US"/>
        </w:rPr>
        <w:t>South Australia</w:t>
      </w:r>
      <w:r w:rsidR="00BF632A" w:rsidRPr="000C66E2">
        <w:rPr>
          <w:lang w:val="en-US"/>
        </w:rPr>
        <w:t>:</w:t>
      </w:r>
    </w:p>
    <w:p w14:paraId="11A3283F" w14:textId="45115EEE" w:rsidR="00337E79" w:rsidRPr="000C66E2" w:rsidRDefault="00835EBE" w:rsidP="009E7F0D">
      <w:pPr>
        <w:pStyle w:val="Footnotecompressed"/>
        <w:numPr>
          <w:ilvl w:val="1"/>
          <w:numId w:val="47"/>
        </w:numPr>
      </w:pPr>
      <w:r w:rsidRPr="000C66E2">
        <w:t xml:space="preserve">Indicator 15: </w:t>
      </w:r>
      <w:r w:rsidR="00337E79" w:rsidRPr="000C66E2">
        <w:t xml:space="preserve">In South Australia a worker's entitlement reduces to 80% (of their Notional Weekly Earnings) after 52 weeks from the date on which the incapacity for work first occurs. After the end of the period of 104 weeks from the date on which the incapacity for work first occurs a worker's entitlement ceases, unless the worker is taken to be a seriously injured worker (see s21, s41 and s47 of the </w:t>
      </w:r>
      <w:r w:rsidR="00337E79" w:rsidRPr="000C66E2">
        <w:rPr>
          <w:i/>
          <w:iCs/>
        </w:rPr>
        <w:t>Return to Work Act 2014 (SA</w:t>
      </w:r>
      <w:r w:rsidR="00337E79" w:rsidRPr="000C66E2">
        <w:t>)).</w:t>
      </w:r>
    </w:p>
    <w:p w14:paraId="3B4BC577" w14:textId="604EEBAD" w:rsidR="00337E79" w:rsidRPr="000C66E2" w:rsidRDefault="00835EBE" w:rsidP="009E7F0D">
      <w:pPr>
        <w:pStyle w:val="Footnotecompressed"/>
        <w:numPr>
          <w:ilvl w:val="1"/>
          <w:numId w:val="47"/>
        </w:numPr>
      </w:pPr>
      <w:r w:rsidRPr="000C66E2">
        <w:t xml:space="preserve">Indicator 16: </w:t>
      </w:r>
      <w:r w:rsidR="00337E79" w:rsidRPr="000C66E2">
        <w:t xml:space="preserve">In the fatality example it has been assumed that the spouse was totally dependent on the deceased worker for a period of 5 years. </w:t>
      </w:r>
    </w:p>
    <w:p w14:paraId="08FE386F" w14:textId="77777777" w:rsidR="00C302C5" w:rsidRPr="000C66E2" w:rsidRDefault="00C302C5" w:rsidP="003F21C8">
      <w:pPr>
        <w:pStyle w:val="Footnotecompressed"/>
        <w:numPr>
          <w:ilvl w:val="0"/>
          <w:numId w:val="0"/>
        </w:numPr>
        <w:ind w:left="360"/>
      </w:pPr>
    </w:p>
    <w:p w14:paraId="4C788787" w14:textId="1FF7A8E1" w:rsidR="000A22D0" w:rsidRPr="000C66E2" w:rsidRDefault="000A22D0" w:rsidP="000C66E2">
      <w:pPr>
        <w:pStyle w:val="Appendixtablehead"/>
        <w:numPr>
          <w:ilvl w:val="0"/>
          <w:numId w:val="47"/>
        </w:numPr>
        <w:spacing w:after="60" w:line="240" w:lineRule="auto"/>
        <w:ind w:left="357" w:hanging="357"/>
        <w:rPr>
          <w:lang w:val="en-US"/>
        </w:rPr>
      </w:pPr>
      <w:r w:rsidRPr="000C66E2">
        <w:rPr>
          <w:lang w:val="en-US"/>
        </w:rPr>
        <w:t>Tasmania:</w:t>
      </w:r>
    </w:p>
    <w:p w14:paraId="7B1675D5" w14:textId="4518497A" w:rsidR="000A22D0" w:rsidRPr="000C66E2" w:rsidRDefault="004E52A3" w:rsidP="004E52A3">
      <w:pPr>
        <w:pStyle w:val="Appendixtablehead"/>
        <w:tabs>
          <w:tab w:val="left" w:pos="0"/>
        </w:tabs>
        <w:spacing w:after="0" w:line="240" w:lineRule="auto"/>
        <w:ind w:left="425" w:hanging="425"/>
        <w:rPr>
          <w:b w:val="0"/>
          <w:color w:val="000000"/>
          <w:sz w:val="16"/>
          <w:szCs w:val="16"/>
          <w:lang w:val="en-US"/>
        </w:rPr>
      </w:pPr>
      <w:r w:rsidRPr="000C66E2">
        <w:rPr>
          <w:b w:val="0"/>
          <w:color w:val="000000"/>
          <w:sz w:val="16"/>
          <w:szCs w:val="16"/>
          <w:lang w:val="en-US"/>
        </w:rPr>
        <w:t>6.1</w:t>
      </w:r>
      <w:r w:rsidRPr="000C66E2">
        <w:rPr>
          <w:b w:val="0"/>
          <w:color w:val="000000"/>
          <w:sz w:val="16"/>
          <w:szCs w:val="16"/>
          <w:lang w:val="en-US"/>
        </w:rPr>
        <w:tab/>
        <w:t xml:space="preserve">Indicator 15 and 16: </w:t>
      </w:r>
      <w:r w:rsidRPr="00AC11CA">
        <w:rPr>
          <w:b w:val="0"/>
          <w:color w:val="000000"/>
          <w:sz w:val="16"/>
          <w:szCs w:val="16"/>
          <w:lang w:val="en-US"/>
        </w:rPr>
        <w:t>For the first 26 weeks of incapacity a worker receives payments at 100% of their normal weekly earnings. Where a worker is incapacitated for more than 26 weeks, their weekly payments are paid at either 90% their normal weekly earnings. Where a worker’s incapacity exceeds 78 weeks, their weekly payments are reduced to 80% of their normal weekly earnings</w:t>
      </w:r>
      <w:r w:rsidR="00115DFA">
        <w:rPr>
          <w:b w:val="0"/>
          <w:color w:val="000000"/>
          <w:sz w:val="16"/>
          <w:szCs w:val="16"/>
          <w:lang w:val="en-US"/>
        </w:rPr>
        <w:t>.</w:t>
      </w:r>
    </w:p>
    <w:p w14:paraId="783743ED" w14:textId="77777777" w:rsidR="000C66E2" w:rsidRPr="00AC11CA" w:rsidRDefault="000C66E2" w:rsidP="00AC11CA">
      <w:pPr>
        <w:pStyle w:val="Appendixtablehead"/>
        <w:tabs>
          <w:tab w:val="left" w:pos="0"/>
        </w:tabs>
        <w:spacing w:after="0" w:line="240" w:lineRule="auto"/>
        <w:ind w:left="425" w:hanging="425"/>
        <w:rPr>
          <w:b w:val="0"/>
          <w:color w:val="000000"/>
          <w:sz w:val="16"/>
          <w:szCs w:val="16"/>
          <w:lang w:val="en-US"/>
        </w:rPr>
      </w:pPr>
    </w:p>
    <w:p w14:paraId="64E33222" w14:textId="380C5729" w:rsidR="00337E79" w:rsidRPr="000C66E2" w:rsidRDefault="00337E79" w:rsidP="000C66E2">
      <w:pPr>
        <w:pStyle w:val="Appendixtablehead"/>
        <w:numPr>
          <w:ilvl w:val="0"/>
          <w:numId w:val="47"/>
        </w:numPr>
        <w:spacing w:after="60" w:line="240" w:lineRule="auto"/>
        <w:ind w:left="357" w:hanging="357"/>
        <w:rPr>
          <w:lang w:val="en-US"/>
        </w:rPr>
      </w:pPr>
      <w:r w:rsidRPr="000C66E2">
        <w:rPr>
          <w:lang w:val="en-US"/>
        </w:rPr>
        <w:t>Northern Territory</w:t>
      </w:r>
      <w:r w:rsidR="00C302C5" w:rsidRPr="000C66E2">
        <w:rPr>
          <w:lang w:val="en-US"/>
        </w:rPr>
        <w:t>:</w:t>
      </w:r>
    </w:p>
    <w:p w14:paraId="7B071C43" w14:textId="4EE48B2B" w:rsidR="00337E79" w:rsidRPr="000C66E2" w:rsidRDefault="00835EBE" w:rsidP="009E7F0D">
      <w:pPr>
        <w:pStyle w:val="Footnotecompressed"/>
        <w:numPr>
          <w:ilvl w:val="1"/>
          <w:numId w:val="47"/>
        </w:numPr>
      </w:pPr>
      <w:r w:rsidRPr="000C66E2">
        <w:t xml:space="preserve">Indicator 15: </w:t>
      </w:r>
      <w:r w:rsidR="00337E79" w:rsidRPr="000C66E2">
        <w:t xml:space="preserve">The minimum long term (after first 26 weeks) benefits provide for entitlement of greater than 75% but not more than 90%, of loss of earning capacity, for low to middle income earners. Those with </w:t>
      </w:r>
      <w:proofErr w:type="spellStart"/>
      <w:r w:rsidR="00337E79" w:rsidRPr="000C66E2">
        <w:t>dependants</w:t>
      </w:r>
      <w:proofErr w:type="spellEnd"/>
      <w:r w:rsidR="00337E79" w:rsidRPr="000C66E2">
        <w:t xml:space="preserve"> are more likely to qualify (s65(7) to (12) of </w:t>
      </w:r>
      <w:proofErr w:type="gramStart"/>
      <w:r w:rsidR="00337E79" w:rsidRPr="000C66E2">
        <w:rPr>
          <w:i/>
          <w:iCs/>
        </w:rPr>
        <w:t>Return to Work</w:t>
      </w:r>
      <w:proofErr w:type="gramEnd"/>
      <w:r w:rsidR="00337E79" w:rsidRPr="000C66E2">
        <w:rPr>
          <w:i/>
          <w:iCs/>
        </w:rPr>
        <w:t xml:space="preserve"> Act 1986</w:t>
      </w:r>
      <w:r w:rsidR="00337E79" w:rsidRPr="000C66E2">
        <w:t xml:space="preserve"> (NT)).</w:t>
      </w:r>
    </w:p>
    <w:p w14:paraId="62559F63" w14:textId="77777777" w:rsidR="0041486D" w:rsidRPr="000C66E2" w:rsidRDefault="0041486D" w:rsidP="00582D5D">
      <w:pPr>
        <w:pStyle w:val="Footnotecompressed"/>
        <w:numPr>
          <w:ilvl w:val="0"/>
          <w:numId w:val="0"/>
        </w:numPr>
        <w:ind w:left="360"/>
      </w:pPr>
    </w:p>
    <w:p w14:paraId="75CA505A" w14:textId="77777777" w:rsidR="00C55246" w:rsidRPr="000C66E2" w:rsidRDefault="00C55246" w:rsidP="000C66E2">
      <w:pPr>
        <w:pStyle w:val="Appendixtablehead"/>
        <w:numPr>
          <w:ilvl w:val="0"/>
          <w:numId w:val="47"/>
        </w:numPr>
        <w:spacing w:after="60" w:line="240" w:lineRule="auto"/>
        <w:ind w:left="357" w:hanging="357"/>
        <w:rPr>
          <w:lang w:val="en-US"/>
        </w:rPr>
      </w:pPr>
      <w:r w:rsidRPr="000C66E2">
        <w:rPr>
          <w:lang w:val="en-US"/>
        </w:rPr>
        <w:t xml:space="preserve">Australian Capital Territory: </w:t>
      </w:r>
    </w:p>
    <w:p w14:paraId="71ADC039" w14:textId="30BBDD28" w:rsidR="006C44DF" w:rsidRPr="00337E79" w:rsidRDefault="006C44DF" w:rsidP="006C44DF">
      <w:pPr>
        <w:pStyle w:val="Footnotecompressed"/>
        <w:numPr>
          <w:ilvl w:val="1"/>
          <w:numId w:val="47"/>
        </w:numPr>
      </w:pPr>
      <w:r>
        <w:t xml:space="preserve">Indicator 15: The </w:t>
      </w:r>
      <w:r w:rsidRPr="00B16364">
        <w:t xml:space="preserve">worker's entitlement reduces to </w:t>
      </w:r>
      <w:r>
        <w:t xml:space="preserve">the greater of the </w:t>
      </w:r>
      <w:r w:rsidRPr="00364CEA">
        <w:t>Statutory Floor or 65% of pre-incapacity weekly earnings applies after 26 weeks of total incapacity</w:t>
      </w:r>
      <w:r>
        <w:t xml:space="preserve"> (s</w:t>
      </w:r>
      <w:r w:rsidRPr="00364CEA">
        <w:t xml:space="preserve">ee s41 of the </w:t>
      </w:r>
      <w:r w:rsidRPr="00203D92">
        <w:t xml:space="preserve">ACT Workers </w:t>
      </w:r>
      <w:r w:rsidRPr="00C61FF8">
        <w:t>C</w:t>
      </w:r>
      <w:r w:rsidRPr="00203D92">
        <w:t>ompensation</w:t>
      </w:r>
      <w:r w:rsidRPr="002E0AB8">
        <w:t xml:space="preserve"> Act 1951</w:t>
      </w:r>
      <w:r>
        <w:t>)</w:t>
      </w:r>
      <w:r w:rsidRPr="00364CEA">
        <w:t xml:space="preserve">. There are no entitlements for </w:t>
      </w:r>
      <w:proofErr w:type="spellStart"/>
      <w:r w:rsidRPr="00364CEA">
        <w:t>dependants</w:t>
      </w:r>
      <w:proofErr w:type="spellEnd"/>
      <w:r w:rsidRPr="00364CEA">
        <w:t xml:space="preserve"> in this scenario.</w:t>
      </w:r>
      <w:r>
        <w:t xml:space="preserve"> </w:t>
      </w:r>
      <w:r w:rsidRPr="00364CEA">
        <w:t xml:space="preserve">The Statutory </w:t>
      </w:r>
      <w:r>
        <w:t>F</w:t>
      </w:r>
      <w:r w:rsidRPr="00364CEA">
        <w:t xml:space="preserve">loor means the national minimum wage set by a national minimum wage order in an annual wage review by Fair Work Australia under the </w:t>
      </w:r>
      <w:r w:rsidRPr="002E0AB8">
        <w:t>Fair Work Act 2009 (Cwlth)</w:t>
      </w:r>
      <w:r w:rsidRPr="00364CEA">
        <w:t xml:space="preserve">. </w:t>
      </w:r>
      <w:r>
        <w:t xml:space="preserve">According to the </w:t>
      </w:r>
      <w:r w:rsidRPr="007B004C">
        <w:t>National Minimum Wage Order 2019</w:t>
      </w:r>
      <w:r>
        <w:t xml:space="preserve">, the national minimum wage as of 1 January 2020 was $740.80 per week, calculated </w:t>
      </w:r>
      <w:proofErr w:type="gramStart"/>
      <w:r>
        <w:t>on the basis of</w:t>
      </w:r>
      <w:proofErr w:type="gramEnd"/>
      <w:r>
        <w:t xml:space="preserve"> a week of 38</w:t>
      </w:r>
      <w:r w:rsidR="00485080">
        <w:t> </w:t>
      </w:r>
      <w:r>
        <w:t>ordinary hours, or $19.49 per hour.</w:t>
      </w:r>
    </w:p>
    <w:p w14:paraId="31B42CF0" w14:textId="77777777" w:rsidR="006C44DF" w:rsidRPr="00337E79" w:rsidRDefault="006C44DF" w:rsidP="006C44DF">
      <w:pPr>
        <w:pStyle w:val="Footnotecompressed"/>
        <w:numPr>
          <w:ilvl w:val="1"/>
          <w:numId w:val="47"/>
        </w:numPr>
      </w:pPr>
      <w:r>
        <w:t xml:space="preserve">Indicator 16: </w:t>
      </w:r>
      <w:r w:rsidRPr="00337E79">
        <w:t xml:space="preserve">Common Law is uncapped in the ACT, so an amount is unable to be determined. </w:t>
      </w:r>
    </w:p>
    <w:p w14:paraId="682CD21F" w14:textId="136B452E" w:rsidR="006C44DF" w:rsidRPr="00337E79" w:rsidRDefault="006C44DF" w:rsidP="006C44DF">
      <w:pPr>
        <w:pStyle w:val="Footnotecompressed"/>
        <w:numPr>
          <w:ilvl w:val="1"/>
          <w:numId w:val="47"/>
        </w:numPr>
      </w:pPr>
      <w:r>
        <w:t xml:space="preserve">Indicator 16: </w:t>
      </w:r>
      <w:r w:rsidRPr="00337E79">
        <w:t xml:space="preserve">A single lump sum payment is divided between the </w:t>
      </w:r>
      <w:proofErr w:type="spellStart"/>
      <w:r w:rsidRPr="00337E79">
        <w:t>dependants</w:t>
      </w:r>
      <w:proofErr w:type="spellEnd"/>
      <w:r w:rsidRPr="00337E79">
        <w:t xml:space="preserve"> as compensation for the death of a worker and the division may be determined by the Magistrates Court as they see appropriate. There are no weekly benefits payable to a spouse. </w:t>
      </w:r>
      <w:proofErr w:type="spellStart"/>
      <w:r w:rsidRPr="00337E79">
        <w:t>Dependants</w:t>
      </w:r>
      <w:proofErr w:type="spellEnd"/>
      <w:r w:rsidRPr="00337E79">
        <w:t xml:space="preserve"> would also be entitled to an additional amount to cover funeral expenses. </w:t>
      </w:r>
    </w:p>
    <w:p w14:paraId="1A85CE6C" w14:textId="77777777" w:rsidR="006C44DF" w:rsidRPr="000E2714" w:rsidRDefault="006C44DF" w:rsidP="006C44DF">
      <w:pPr>
        <w:pStyle w:val="Footnotecompressed"/>
        <w:numPr>
          <w:ilvl w:val="1"/>
          <w:numId w:val="47"/>
        </w:numPr>
      </w:pPr>
      <w:r>
        <w:t xml:space="preserve">Indicator 16: </w:t>
      </w:r>
      <w:r w:rsidRPr="00337E79">
        <w:t xml:space="preserve">A child that remains in full time education would stop being entitled to receiving weekly compensation benefits if they </w:t>
      </w:r>
      <w:proofErr w:type="gramStart"/>
      <w:r w:rsidRPr="00337E79">
        <w:t>entered into</w:t>
      </w:r>
      <w:proofErr w:type="gramEnd"/>
      <w:r w:rsidRPr="00337E79">
        <w:t xml:space="preserve"> a domestic partnership.</w:t>
      </w:r>
    </w:p>
    <w:p w14:paraId="03738F4B" w14:textId="77777777" w:rsidR="000C66E2" w:rsidRPr="000C66E2" w:rsidRDefault="000C66E2" w:rsidP="000E2714">
      <w:pPr>
        <w:pStyle w:val="Footnotecompressed"/>
        <w:numPr>
          <w:ilvl w:val="0"/>
          <w:numId w:val="0"/>
        </w:numPr>
        <w:spacing w:after="60"/>
        <w:ind w:left="425" w:hanging="425"/>
      </w:pPr>
    </w:p>
    <w:p w14:paraId="570940A1" w14:textId="77777777" w:rsidR="00337E79" w:rsidRPr="000C66E2" w:rsidRDefault="00337E79" w:rsidP="00AC11CA">
      <w:pPr>
        <w:pStyle w:val="Appendixtablehead"/>
        <w:keepNext/>
        <w:keepLines/>
        <w:numPr>
          <w:ilvl w:val="0"/>
          <w:numId w:val="47"/>
        </w:numPr>
        <w:spacing w:after="60" w:line="240" w:lineRule="auto"/>
        <w:ind w:left="357" w:hanging="357"/>
        <w:rPr>
          <w:lang w:val="en-US"/>
        </w:rPr>
      </w:pPr>
      <w:r w:rsidRPr="000C66E2">
        <w:rPr>
          <w:lang w:val="en-US"/>
        </w:rPr>
        <w:lastRenderedPageBreak/>
        <w:t xml:space="preserve">Comcare: </w:t>
      </w:r>
    </w:p>
    <w:p w14:paraId="19014AF7" w14:textId="6738413E" w:rsidR="00337E79" w:rsidRPr="000C66E2" w:rsidRDefault="004514D1" w:rsidP="00AC11CA">
      <w:pPr>
        <w:pStyle w:val="Footnotecompressed"/>
        <w:keepNext/>
        <w:keepLines/>
        <w:numPr>
          <w:ilvl w:val="1"/>
          <w:numId w:val="47"/>
        </w:numPr>
      </w:pPr>
      <w:r w:rsidRPr="000C66E2">
        <w:t xml:space="preserve">Indicator 16: </w:t>
      </w:r>
      <w:r w:rsidR="00337E79" w:rsidRPr="000C66E2">
        <w:t>The 'cut-off' for weekly benefits has been changed under the SRC Act and is now 'pension age' as defined by the DSS Act, rather than age 65. Therefore, the weekly incapacity benefits can potentially be paid to age 67 (the DSS pension age) and this has not been applied to the above figure.</w:t>
      </w:r>
    </w:p>
    <w:p w14:paraId="61A59D7A" w14:textId="34FFDCE8" w:rsidR="00337E79" w:rsidRPr="000C66E2" w:rsidRDefault="004514D1" w:rsidP="00AC11CA">
      <w:pPr>
        <w:pStyle w:val="Footnotecompressed"/>
        <w:keepNext/>
        <w:keepLines/>
        <w:numPr>
          <w:ilvl w:val="1"/>
          <w:numId w:val="47"/>
        </w:numPr>
      </w:pPr>
      <w:r w:rsidRPr="000C66E2">
        <w:t xml:space="preserve">Indicator 16: </w:t>
      </w:r>
      <w:r w:rsidR="00337E79" w:rsidRPr="000C66E2">
        <w:t>If common law action is taken by the injured worker, a maximum of $110,000 is payable for non-economic loss (only). However, if the worker opts for common law, they lose their entitlement to a 'Statutory Lump Sum' for permanent impairment under the Comcare scheme.</w:t>
      </w:r>
    </w:p>
    <w:p w14:paraId="2997308E" w14:textId="211C23F5" w:rsidR="00337E79" w:rsidRPr="000C66E2" w:rsidRDefault="00835EBE" w:rsidP="00AC11CA">
      <w:pPr>
        <w:pStyle w:val="Footnotecompressed"/>
        <w:keepNext/>
        <w:keepLines/>
        <w:numPr>
          <w:ilvl w:val="1"/>
          <w:numId w:val="47"/>
        </w:numPr>
      </w:pPr>
      <w:r w:rsidRPr="000C66E2">
        <w:t xml:space="preserve">Indicator 16: </w:t>
      </w:r>
      <w:r w:rsidR="00337E79" w:rsidRPr="000C66E2">
        <w:t>In the example for permanent impairment, the full statutory lump sums for permanent impairment and non-economic loss have been used.</w:t>
      </w:r>
    </w:p>
    <w:p w14:paraId="2C1AAA00" w14:textId="1781A41A" w:rsidR="00337E79" w:rsidRPr="000C66E2" w:rsidRDefault="00835EBE" w:rsidP="00AC11CA">
      <w:pPr>
        <w:pStyle w:val="Footnotecompressed"/>
        <w:keepNext/>
        <w:keepLines/>
        <w:numPr>
          <w:ilvl w:val="1"/>
          <w:numId w:val="47"/>
        </w:numPr>
        <w:spacing w:after="60"/>
        <w:ind w:left="431" w:hanging="431"/>
      </w:pPr>
      <w:r w:rsidRPr="000C66E2">
        <w:t xml:space="preserve">Indicator 16: </w:t>
      </w:r>
      <w:r w:rsidR="00337E79" w:rsidRPr="000C66E2">
        <w:t xml:space="preserve">The legislation does not prescribe a set amount or percentage to either spouse or </w:t>
      </w:r>
      <w:r w:rsidR="003F21C8" w:rsidRPr="000C66E2">
        <w:t>children but</w:t>
      </w:r>
      <w:r w:rsidR="00337E79" w:rsidRPr="000C66E2">
        <w:t xml:space="preserve"> states the total of the current statutory amount is "payable to, or in accordance with the direction of, Comcare for the benefit of all dependents". For the fatality example, 5% has been paid to each dependent child with the remaining 90% paid to the spouse.</w:t>
      </w:r>
    </w:p>
    <w:p w14:paraId="2B91014F" w14:textId="77777777" w:rsidR="00337E79" w:rsidRPr="000C66E2" w:rsidRDefault="00337E79" w:rsidP="00A63387">
      <w:pPr>
        <w:pStyle w:val="Appendixtablehead"/>
        <w:numPr>
          <w:ilvl w:val="0"/>
          <w:numId w:val="47"/>
        </w:numPr>
        <w:spacing w:after="60" w:line="240" w:lineRule="auto"/>
        <w:ind w:left="357" w:hanging="357"/>
        <w:rPr>
          <w:lang w:val="en-US"/>
        </w:rPr>
      </w:pPr>
      <w:r w:rsidRPr="000C66E2">
        <w:rPr>
          <w:lang w:val="en-US"/>
        </w:rPr>
        <w:t xml:space="preserve">New Zealand: </w:t>
      </w:r>
    </w:p>
    <w:p w14:paraId="74EC0285" w14:textId="5A1FFFDB" w:rsidR="00337E79" w:rsidRPr="000C66E2" w:rsidRDefault="000A22D0" w:rsidP="002B10E6">
      <w:pPr>
        <w:pStyle w:val="Footnotecompressed"/>
        <w:numPr>
          <w:ilvl w:val="0"/>
          <w:numId w:val="0"/>
        </w:numPr>
        <w:ind w:left="426" w:hanging="426"/>
      </w:pPr>
      <w:r w:rsidRPr="000C66E2">
        <w:t>10</w:t>
      </w:r>
      <w:r w:rsidR="002B10E6" w:rsidRPr="000C66E2">
        <w:t>.1</w:t>
      </w:r>
      <w:r w:rsidR="002B10E6" w:rsidRPr="000C66E2">
        <w:tab/>
      </w:r>
      <w:r w:rsidR="004514D1" w:rsidRPr="000C66E2">
        <w:t xml:space="preserve">Indicator 16: </w:t>
      </w:r>
      <w:r w:rsidR="00337E79" w:rsidRPr="000C66E2">
        <w:t xml:space="preserve">Weekly Compensation is 80% of the gross weekly earnings. Clause 52 of the First Schedule of the </w:t>
      </w:r>
      <w:r w:rsidR="00337E79" w:rsidRPr="000C66E2">
        <w:rPr>
          <w:i/>
          <w:iCs/>
        </w:rPr>
        <w:t>Accident Compensation Act</w:t>
      </w:r>
      <w:r w:rsidR="00337E79" w:rsidRPr="000C66E2">
        <w:t xml:space="preserve"> </w:t>
      </w:r>
      <w:r w:rsidR="00337E79" w:rsidRPr="000C66E2">
        <w:rPr>
          <w:i/>
          <w:iCs/>
        </w:rPr>
        <w:t>2001 (NZ)</w:t>
      </w:r>
      <w:r w:rsidR="00337E79" w:rsidRPr="000C66E2">
        <w:t xml:space="preserve"> states that weekly compensation ceases at the age at which the client is eligible for New Zealand Superannuation. In this example, that is age 65.</w:t>
      </w:r>
    </w:p>
    <w:p w14:paraId="5F8FE706" w14:textId="1CA50ABA" w:rsidR="00276C7E" w:rsidRDefault="000A22D0" w:rsidP="00FF31C9">
      <w:pPr>
        <w:pStyle w:val="Footnotecompressed"/>
        <w:numPr>
          <w:ilvl w:val="0"/>
          <w:numId w:val="0"/>
        </w:numPr>
        <w:ind w:left="426" w:hanging="426"/>
      </w:pPr>
      <w:r w:rsidRPr="000C66E2">
        <w:t>10</w:t>
      </w:r>
      <w:r w:rsidR="002B10E6" w:rsidRPr="000C66E2">
        <w:t>.2</w:t>
      </w:r>
      <w:r w:rsidR="00276C7E">
        <w:tab/>
      </w:r>
      <w:r w:rsidR="004514D1" w:rsidRPr="000C66E2">
        <w:t xml:space="preserve">Indicator 16: </w:t>
      </w:r>
      <w:r w:rsidR="00337E79" w:rsidRPr="000C66E2">
        <w:t xml:space="preserve">Lump Sums for Whole Person Impairment are set out in the Accident Compensation Act 2001 (NZ). For the purposes of the example, it was presumed that the client was entitled to the maximum </w:t>
      </w:r>
      <w:proofErr w:type="gramStart"/>
      <w:r w:rsidR="00337E79" w:rsidRPr="000C66E2">
        <w:t>one off</w:t>
      </w:r>
      <w:proofErr w:type="gramEnd"/>
      <w:r w:rsidR="00337E79" w:rsidRPr="000C66E2">
        <w:t xml:space="preserve"> payment amount</w:t>
      </w:r>
      <w:r w:rsidR="00C55246" w:rsidRPr="000C66E2">
        <w:t>.</w:t>
      </w:r>
    </w:p>
    <w:p w14:paraId="03AF1206" w14:textId="4253BB00" w:rsidR="00FF31C9" w:rsidRDefault="00276C7E" w:rsidP="00AC11CA">
      <w:pPr>
        <w:pStyle w:val="Footnotecompressed"/>
        <w:numPr>
          <w:ilvl w:val="0"/>
          <w:numId w:val="0"/>
        </w:numPr>
      </w:pPr>
      <w:proofErr w:type="gramStart"/>
      <w:r>
        <w:t xml:space="preserve">10.3  </w:t>
      </w:r>
      <w:r w:rsidRPr="00276C7E">
        <w:t>Indicator</w:t>
      </w:r>
      <w:proofErr w:type="gramEnd"/>
      <w:r w:rsidRPr="00276C7E">
        <w:t xml:space="preserve"> 16: Common Law is uncapped in </w:t>
      </w:r>
      <w:r>
        <w:t>New Zealand</w:t>
      </w:r>
      <w:r w:rsidRPr="00276C7E">
        <w:t xml:space="preserve">, so an amount is unable to be determined. </w:t>
      </w:r>
      <w:r w:rsidR="00FF31C9">
        <w:br w:type="page"/>
      </w:r>
    </w:p>
    <w:p w14:paraId="0FB1D1D9" w14:textId="45E8E1D7" w:rsidR="006F15AC" w:rsidRDefault="006F15AC" w:rsidP="0002740D">
      <w:pPr>
        <w:pStyle w:val="SWASectionnum2"/>
        <w:numPr>
          <w:ilvl w:val="0"/>
          <w:numId w:val="0"/>
        </w:numPr>
        <w:spacing w:before="120"/>
      </w:pPr>
      <w:bookmarkStart w:id="23" w:name="_Toc79584104"/>
      <w:bookmarkStart w:id="24" w:name="_Toc86056330"/>
      <w:bookmarkStart w:id="25" w:name="_Hlk80358486"/>
      <w:r>
        <w:lastRenderedPageBreak/>
        <w:t xml:space="preserve">Appendix </w:t>
      </w:r>
      <w:r w:rsidR="00FF31C9">
        <w:t>2</w:t>
      </w:r>
      <w:r>
        <w:t xml:space="preserve"> – Jurisdictional contact information</w:t>
      </w:r>
      <w:bookmarkEnd w:id="23"/>
      <w:bookmarkEnd w:id="24"/>
      <w:r w:rsidR="008623D6">
        <w:t xml:space="preserve"> </w:t>
      </w:r>
    </w:p>
    <w:tbl>
      <w:tblPr>
        <w:tblStyle w:val="LightShading-Accent2"/>
        <w:tblW w:w="5310" w:type="pct"/>
        <w:tblLook w:val="04A0" w:firstRow="1" w:lastRow="0" w:firstColumn="1" w:lastColumn="0" w:noHBand="0" w:noVBand="1"/>
        <w:tblCaption w:val="Appendix - Jurisdictional contact information"/>
        <w:tblDescription w:val="This table shows contact information of work health and safety and workers' compensation authorities in Australian states and territories"/>
      </w:tblPr>
      <w:tblGrid>
        <w:gridCol w:w="2848"/>
        <w:gridCol w:w="3705"/>
        <w:gridCol w:w="3370"/>
      </w:tblGrid>
      <w:tr w:rsidR="0032659F" w:rsidRPr="007240E7" w14:paraId="54C69DFF" w14:textId="77777777" w:rsidTr="0014356C">
        <w:trPr>
          <w:cnfStyle w:val="100000000000" w:firstRow="1" w:lastRow="0" w:firstColumn="0" w:lastColumn="0" w:oddVBand="0" w:evenVBand="0" w:oddHBand="0" w:evenHBand="0" w:firstRowFirstColumn="0" w:firstRowLastColumn="0" w:lastRowFirstColumn="0" w:lastRowLastColumn="0"/>
          <w:trHeight w:val="326"/>
          <w:tblHeader/>
        </w:trPr>
        <w:tc>
          <w:tcPr>
            <w:cnfStyle w:val="001000000000" w:firstRow="0" w:lastRow="0" w:firstColumn="1" w:lastColumn="0" w:oddVBand="0" w:evenVBand="0" w:oddHBand="0" w:evenHBand="0" w:firstRowFirstColumn="0" w:firstRowLastColumn="0" w:lastRowFirstColumn="0" w:lastRowLastColumn="0"/>
            <w:tcW w:w="1435" w:type="pct"/>
            <w:vAlign w:val="center"/>
          </w:tcPr>
          <w:bookmarkEnd w:id="25"/>
          <w:p w14:paraId="33CC36FE" w14:textId="77777777" w:rsidR="0032659F" w:rsidRPr="007240E7" w:rsidRDefault="0032659F" w:rsidP="001A409E">
            <w:pPr>
              <w:spacing w:before="0"/>
              <w:ind w:left="113"/>
              <w:jc w:val="center"/>
              <w:rPr>
                <w:rFonts w:cs="Arial"/>
                <w:szCs w:val="20"/>
              </w:rPr>
            </w:pPr>
            <w:r w:rsidRPr="007240E7">
              <w:rPr>
                <w:rFonts w:cs="Arial"/>
                <w:szCs w:val="20"/>
              </w:rPr>
              <w:t>Jurisdiction</w:t>
            </w:r>
          </w:p>
        </w:tc>
        <w:tc>
          <w:tcPr>
            <w:tcW w:w="1867" w:type="pct"/>
            <w:vAlign w:val="center"/>
          </w:tcPr>
          <w:p w14:paraId="3C667ADA" w14:textId="77777777" w:rsidR="0032659F" w:rsidRPr="007240E7" w:rsidRDefault="0032659F" w:rsidP="001A409E">
            <w:pPr>
              <w:spacing w:before="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7240E7">
              <w:rPr>
                <w:rFonts w:cs="Arial"/>
                <w:szCs w:val="20"/>
              </w:rPr>
              <w:t>Organisation</w:t>
            </w:r>
          </w:p>
        </w:tc>
        <w:tc>
          <w:tcPr>
            <w:tcW w:w="1698" w:type="pct"/>
            <w:vAlign w:val="center"/>
          </w:tcPr>
          <w:p w14:paraId="4283C919" w14:textId="77777777" w:rsidR="0032659F" w:rsidRPr="007240E7" w:rsidRDefault="0032659F" w:rsidP="001A409E">
            <w:pPr>
              <w:spacing w:before="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7240E7">
              <w:rPr>
                <w:rFonts w:cs="Arial"/>
                <w:szCs w:val="20"/>
              </w:rPr>
              <w:t>Contact details</w:t>
            </w:r>
          </w:p>
        </w:tc>
      </w:tr>
      <w:tr w:rsidR="00B7111B" w:rsidRPr="007240E7" w14:paraId="686CFBF0" w14:textId="77777777" w:rsidTr="002452BF">
        <w:trPr>
          <w:cnfStyle w:val="000000100000" w:firstRow="0" w:lastRow="0" w:firstColumn="0" w:lastColumn="0" w:oddVBand="0" w:evenVBand="0" w:oddHBand="1" w:evenHBand="0" w:firstRowFirstColumn="0" w:firstRowLastColumn="0" w:lastRowFirstColumn="0" w:lastRowLastColumn="0"/>
          <w:trHeight w:val="2726"/>
        </w:trPr>
        <w:tc>
          <w:tcPr>
            <w:cnfStyle w:val="001000000000" w:firstRow="0" w:lastRow="0" w:firstColumn="1" w:lastColumn="0" w:oddVBand="0" w:evenVBand="0" w:oddHBand="0" w:evenHBand="0" w:firstRowFirstColumn="0" w:firstRowLastColumn="0" w:lastRowFirstColumn="0" w:lastRowLastColumn="0"/>
            <w:tcW w:w="1435" w:type="pct"/>
          </w:tcPr>
          <w:p w14:paraId="55AC0C0F" w14:textId="77777777" w:rsidR="00B7111B" w:rsidRPr="001928BE" w:rsidRDefault="00B7111B" w:rsidP="00B7111B">
            <w:pPr>
              <w:spacing w:before="40" w:after="40"/>
              <w:jc w:val="left"/>
              <w:rPr>
                <w:rFonts w:cs="Arial"/>
                <w:szCs w:val="20"/>
              </w:rPr>
            </w:pPr>
            <w:r w:rsidRPr="001928BE">
              <w:rPr>
                <w:rFonts w:cs="Arial"/>
                <w:szCs w:val="20"/>
              </w:rPr>
              <w:t>New South Wales</w:t>
            </w:r>
          </w:p>
          <w:p w14:paraId="4457859F" w14:textId="77777777" w:rsidR="00B7111B" w:rsidRPr="001928BE" w:rsidRDefault="00B7111B" w:rsidP="00B7111B">
            <w:pPr>
              <w:spacing w:before="40" w:after="40"/>
              <w:jc w:val="left"/>
              <w:rPr>
                <w:rFonts w:cs="Arial"/>
                <w:szCs w:val="20"/>
              </w:rPr>
            </w:pPr>
          </w:p>
          <w:p w14:paraId="663F0169" w14:textId="77777777" w:rsidR="00B7111B" w:rsidRPr="007240E7" w:rsidRDefault="00B7111B" w:rsidP="00B7111B">
            <w:pPr>
              <w:spacing w:before="0"/>
              <w:jc w:val="left"/>
              <w:rPr>
                <w:rFonts w:cs="Arial"/>
                <w:szCs w:val="20"/>
              </w:rPr>
            </w:pPr>
          </w:p>
        </w:tc>
        <w:tc>
          <w:tcPr>
            <w:tcW w:w="1867" w:type="pct"/>
          </w:tcPr>
          <w:p w14:paraId="6C43722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State Insurance Regulatory Authority</w:t>
            </w:r>
            <w:r w:rsidRPr="001928BE">
              <w:rPr>
                <w:rFonts w:cs="Arial"/>
                <w:szCs w:val="20"/>
              </w:rPr>
              <w:br/>
            </w:r>
          </w:p>
          <w:p w14:paraId="727EA252"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7F261C7F"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742025F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NSW</w:t>
            </w:r>
          </w:p>
          <w:p w14:paraId="105CD830"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54DE551F"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70745C20"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NSW Personal Injury Commission</w:t>
            </w:r>
          </w:p>
          <w:p w14:paraId="3AFF3DF9"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6CF94728"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3F139AA6" w14:textId="322BB13C"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icare</w:t>
            </w:r>
            <w:proofErr w:type="spellEnd"/>
            <w:r w:rsidRPr="001928BE">
              <w:rPr>
                <w:rFonts w:cs="Arial"/>
                <w:szCs w:val="20"/>
              </w:rPr>
              <w:t xml:space="preserve"> NSW</w:t>
            </w:r>
          </w:p>
        </w:tc>
        <w:tc>
          <w:tcPr>
            <w:tcW w:w="1698" w:type="pct"/>
          </w:tcPr>
          <w:p w14:paraId="7A0C345B"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13 10 50</w:t>
            </w:r>
          </w:p>
          <w:p w14:paraId="4141828A" w14:textId="77777777" w:rsidR="00B7111B" w:rsidRPr="001928BE" w:rsidRDefault="009A4283"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5" w:history="1">
              <w:r w:rsidR="00B7111B" w:rsidRPr="001928BE">
                <w:rPr>
                  <w:rStyle w:val="Hyperlink"/>
                  <w:rFonts w:eastAsiaTheme="majorEastAsia" w:cs="Arial"/>
                  <w:color w:val="000000" w:themeColor="text1"/>
                  <w:szCs w:val="20"/>
                </w:rPr>
                <w:t>contact@sira.nsw.gov.au</w:t>
              </w:r>
            </w:hyperlink>
          </w:p>
          <w:p w14:paraId="0939CF2A" w14:textId="77777777" w:rsidR="00B7111B" w:rsidRPr="001928BE" w:rsidRDefault="009A4283"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26" w:tooltip="Link to State Insurance Regulatory Authority NSW website" w:history="1">
              <w:r w:rsidR="00B7111B" w:rsidRPr="001928BE">
                <w:rPr>
                  <w:rStyle w:val="Hyperlink"/>
                  <w:rFonts w:eastAsiaTheme="majorEastAsia" w:cs="Arial"/>
                  <w:color w:val="000000" w:themeColor="text1"/>
                  <w:szCs w:val="20"/>
                </w:rPr>
                <w:t>www.sira.nsw.gov.au</w:t>
              </w:r>
            </w:hyperlink>
          </w:p>
          <w:p w14:paraId="09CD285F" w14:textId="77777777" w:rsidR="00B7111B" w:rsidRPr="003D6109" w:rsidRDefault="00B7111B"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 w:val="10"/>
                <w:szCs w:val="10"/>
              </w:rPr>
            </w:pPr>
          </w:p>
          <w:p w14:paraId="1E927B2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contact@safework.nsw.gov.au</w:t>
            </w:r>
          </w:p>
          <w:p w14:paraId="748AB126" w14:textId="77777777" w:rsidR="00B7111B" w:rsidRPr="001928BE" w:rsidRDefault="009A4283"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27" w:tooltip="SafeWork NSW website" w:history="1">
              <w:r w:rsidR="00B7111B" w:rsidRPr="001928BE">
                <w:rPr>
                  <w:rStyle w:val="Hyperlink"/>
                  <w:rFonts w:eastAsiaTheme="majorEastAsia" w:cs="Arial"/>
                  <w:color w:val="000000" w:themeColor="text1"/>
                  <w:szCs w:val="20"/>
                </w:rPr>
                <w:t>www.safework.nsw.gov.au</w:t>
              </w:r>
            </w:hyperlink>
          </w:p>
          <w:p w14:paraId="07BAEAEE"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8D36422"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1800 742 679</w:t>
            </w:r>
          </w:p>
          <w:p w14:paraId="50B5449E" w14:textId="77777777" w:rsidR="00B7111B" w:rsidRPr="001928BE" w:rsidRDefault="009A4283"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28" w:history="1">
              <w:r w:rsidR="00B7111B" w:rsidRPr="001928BE">
                <w:rPr>
                  <w:rStyle w:val="Hyperlink"/>
                  <w:rFonts w:eastAsiaTheme="majorEastAsia" w:cs="Arial"/>
                  <w:color w:val="000000" w:themeColor="text1"/>
                  <w:szCs w:val="20"/>
                </w:rPr>
                <w:t>www.pi.nsw.gov.au</w:t>
              </w:r>
            </w:hyperlink>
          </w:p>
          <w:p w14:paraId="55163A30"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24479006" w14:textId="50C326A4" w:rsidR="00B7111B" w:rsidRPr="007240E7" w:rsidRDefault="009A4283" w:rsidP="00B7111B">
            <w:pPr>
              <w:spacing w:before="0"/>
              <w:jc w:val="left"/>
              <w:cnfStyle w:val="000000100000" w:firstRow="0" w:lastRow="0" w:firstColumn="0" w:lastColumn="0" w:oddVBand="0" w:evenVBand="0" w:oddHBand="1" w:evenHBand="0" w:firstRowFirstColumn="0" w:firstRowLastColumn="0" w:lastRowFirstColumn="0" w:lastRowLastColumn="0"/>
              <w:rPr>
                <w:rFonts w:eastAsiaTheme="majorEastAsia" w:cs="Arial"/>
                <w:szCs w:val="20"/>
              </w:rPr>
            </w:pPr>
            <w:hyperlink r:id="rId29" w:history="1">
              <w:r w:rsidR="00B7111B" w:rsidRPr="001928BE">
                <w:rPr>
                  <w:rStyle w:val="Hyperlink"/>
                  <w:rFonts w:eastAsiaTheme="majorEastAsia" w:cs="Arial"/>
                  <w:color w:val="000000" w:themeColor="text1"/>
                  <w:szCs w:val="20"/>
                </w:rPr>
                <w:t>www.icare.nsw.gov.au</w:t>
              </w:r>
            </w:hyperlink>
          </w:p>
        </w:tc>
      </w:tr>
      <w:tr w:rsidR="00B7111B" w:rsidRPr="007240E7" w14:paraId="705D7F56" w14:textId="77777777" w:rsidTr="007240E7">
        <w:trPr>
          <w:cnfStyle w:val="000000010000" w:firstRow="0" w:lastRow="0" w:firstColumn="0" w:lastColumn="0" w:oddVBand="0" w:evenVBand="0" w:oddHBand="0" w:evenHBand="1" w:firstRowFirstColumn="0" w:firstRowLastColumn="0" w:lastRowFirstColumn="0" w:lastRowLastColumn="0"/>
          <w:trHeight w:val="926"/>
        </w:trPr>
        <w:tc>
          <w:tcPr>
            <w:cnfStyle w:val="001000000000" w:firstRow="0" w:lastRow="0" w:firstColumn="1" w:lastColumn="0" w:oddVBand="0" w:evenVBand="0" w:oddHBand="0" w:evenHBand="0" w:firstRowFirstColumn="0" w:firstRowLastColumn="0" w:lastRowFirstColumn="0" w:lastRowLastColumn="0"/>
            <w:tcW w:w="1435" w:type="pct"/>
          </w:tcPr>
          <w:p w14:paraId="380A0426" w14:textId="562D8B90" w:rsidR="00B7111B" w:rsidRPr="007240E7" w:rsidRDefault="00B7111B" w:rsidP="00B7111B">
            <w:pPr>
              <w:spacing w:before="0"/>
              <w:jc w:val="left"/>
              <w:rPr>
                <w:rFonts w:cs="Arial"/>
                <w:szCs w:val="20"/>
              </w:rPr>
            </w:pPr>
            <w:r w:rsidRPr="001928BE">
              <w:rPr>
                <w:rFonts w:cs="Arial"/>
                <w:szCs w:val="20"/>
              </w:rPr>
              <w:t>Victoria</w:t>
            </w:r>
          </w:p>
        </w:tc>
        <w:tc>
          <w:tcPr>
            <w:tcW w:w="1867" w:type="pct"/>
          </w:tcPr>
          <w:p w14:paraId="734DF719" w14:textId="110D658F"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Victoria</w:t>
            </w:r>
          </w:p>
        </w:tc>
        <w:tc>
          <w:tcPr>
            <w:tcW w:w="1698" w:type="pct"/>
          </w:tcPr>
          <w:p w14:paraId="5EFEA8F4"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Advisory Service 1800 136 089</w:t>
            </w:r>
          </w:p>
          <w:p w14:paraId="6AA46F55" w14:textId="77777777" w:rsidR="00B7111B" w:rsidRPr="001928BE" w:rsidRDefault="009A4283"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30" w:history="1">
              <w:r w:rsidR="00B7111B" w:rsidRPr="001928BE">
                <w:rPr>
                  <w:rStyle w:val="Hyperlink"/>
                  <w:rFonts w:eastAsiaTheme="majorEastAsia" w:cs="Arial"/>
                  <w:color w:val="000000" w:themeColor="text1"/>
                  <w:szCs w:val="20"/>
                </w:rPr>
                <w:t>info@worksafe.vic.gov.au</w:t>
              </w:r>
            </w:hyperlink>
          </w:p>
          <w:p w14:paraId="7F6F6AB4" w14:textId="414FEFCA" w:rsidR="00B7111B" w:rsidRPr="007240E7" w:rsidRDefault="009A4283"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hyperlink r:id="rId31" w:tooltip="Link to WorkSafe Victoria website" w:history="1">
              <w:r w:rsidR="00B7111B" w:rsidRPr="001928BE">
                <w:rPr>
                  <w:rStyle w:val="Hyperlink"/>
                  <w:rFonts w:eastAsiaTheme="majorEastAsia" w:cs="Arial"/>
                  <w:color w:val="000000" w:themeColor="text1"/>
                  <w:szCs w:val="20"/>
                </w:rPr>
                <w:t>www.worksafe.vic.gov.au</w:t>
              </w:r>
            </w:hyperlink>
          </w:p>
        </w:tc>
      </w:tr>
      <w:tr w:rsidR="00B7111B" w:rsidRPr="007240E7" w14:paraId="51E1399E" w14:textId="77777777" w:rsidTr="001D2906">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435" w:type="pct"/>
          </w:tcPr>
          <w:p w14:paraId="4DEB0180" w14:textId="50E47B38" w:rsidR="00B7111B" w:rsidRPr="007240E7" w:rsidRDefault="00B7111B" w:rsidP="00B7111B">
            <w:pPr>
              <w:spacing w:before="0"/>
              <w:jc w:val="left"/>
              <w:rPr>
                <w:rFonts w:cs="Arial"/>
                <w:szCs w:val="20"/>
              </w:rPr>
            </w:pPr>
            <w:r w:rsidRPr="001928BE">
              <w:rPr>
                <w:rFonts w:cs="Arial"/>
                <w:szCs w:val="20"/>
              </w:rPr>
              <w:t>Queensland</w:t>
            </w:r>
          </w:p>
        </w:tc>
        <w:tc>
          <w:tcPr>
            <w:tcW w:w="1867" w:type="pct"/>
          </w:tcPr>
          <w:p w14:paraId="4BA55DB2" w14:textId="11D982BD"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 xml:space="preserve">Office of Industrial Relations </w:t>
            </w:r>
          </w:p>
        </w:tc>
        <w:tc>
          <w:tcPr>
            <w:tcW w:w="1698" w:type="pct"/>
          </w:tcPr>
          <w:p w14:paraId="79AF677C"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Infoline 1300 362 128</w:t>
            </w:r>
          </w:p>
          <w:p w14:paraId="355D2856" w14:textId="5921EC9E" w:rsidR="00B7111B" w:rsidRPr="007240E7" w:rsidRDefault="009A4283"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32" w:history="1">
              <w:r w:rsidR="00B7111B" w:rsidRPr="001928BE">
                <w:rPr>
                  <w:rStyle w:val="Hyperlink"/>
                  <w:rFonts w:eastAsiaTheme="majorEastAsia" w:cs="Arial"/>
                  <w:color w:val="000000" w:themeColor="text1"/>
                  <w:szCs w:val="20"/>
                </w:rPr>
                <w:t>www.worksafe.qld.gov.au</w:t>
              </w:r>
            </w:hyperlink>
          </w:p>
        </w:tc>
      </w:tr>
      <w:tr w:rsidR="00B7111B" w:rsidRPr="007240E7" w14:paraId="38D19619" w14:textId="77777777" w:rsidTr="002452BF">
        <w:trPr>
          <w:cnfStyle w:val="000000010000" w:firstRow="0" w:lastRow="0" w:firstColumn="0" w:lastColumn="0" w:oddVBand="0" w:evenVBand="0" w:oddHBand="0" w:evenHBand="1" w:firstRowFirstColumn="0" w:firstRowLastColumn="0" w:lastRowFirstColumn="0" w:lastRowLastColumn="0"/>
          <w:trHeight w:val="1313"/>
        </w:trPr>
        <w:tc>
          <w:tcPr>
            <w:cnfStyle w:val="001000000000" w:firstRow="0" w:lastRow="0" w:firstColumn="1" w:lastColumn="0" w:oddVBand="0" w:evenVBand="0" w:oddHBand="0" w:evenHBand="0" w:firstRowFirstColumn="0" w:firstRowLastColumn="0" w:lastRowFirstColumn="0" w:lastRowLastColumn="0"/>
            <w:tcW w:w="1435" w:type="pct"/>
          </w:tcPr>
          <w:p w14:paraId="486C3C16" w14:textId="2774B88B" w:rsidR="00B7111B" w:rsidRPr="007240E7" w:rsidRDefault="00B7111B" w:rsidP="00B7111B">
            <w:pPr>
              <w:spacing w:before="0"/>
              <w:jc w:val="left"/>
              <w:rPr>
                <w:rFonts w:cs="Arial"/>
                <w:szCs w:val="20"/>
              </w:rPr>
            </w:pPr>
            <w:r w:rsidRPr="001928BE">
              <w:rPr>
                <w:rFonts w:cs="Arial"/>
                <w:szCs w:val="20"/>
              </w:rPr>
              <w:t>Western Australia</w:t>
            </w:r>
          </w:p>
        </w:tc>
        <w:tc>
          <w:tcPr>
            <w:tcW w:w="1867" w:type="pct"/>
          </w:tcPr>
          <w:p w14:paraId="61258B43"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roofErr w:type="spellStart"/>
            <w:r w:rsidRPr="001928BE">
              <w:rPr>
                <w:rFonts w:cs="Arial"/>
                <w:szCs w:val="20"/>
              </w:rPr>
              <w:t>WorkCover</w:t>
            </w:r>
            <w:proofErr w:type="spellEnd"/>
            <w:r w:rsidRPr="001928BE">
              <w:rPr>
                <w:rFonts w:cs="Arial"/>
                <w:szCs w:val="20"/>
              </w:rPr>
              <w:t xml:space="preserve"> WA</w:t>
            </w:r>
          </w:p>
          <w:p w14:paraId="785C7682" w14:textId="77777777" w:rsidR="00B7111B"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szCs w:val="20"/>
              </w:rPr>
            </w:pPr>
          </w:p>
          <w:p w14:paraId="0E3B4C05" w14:textId="77777777" w:rsidR="00B7111B" w:rsidRPr="003D6109"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sz w:val="10"/>
                <w:szCs w:val="10"/>
              </w:rPr>
            </w:pPr>
          </w:p>
          <w:p w14:paraId="4B087076" w14:textId="13E019C9"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 xml:space="preserve">Department of Mines, Industry Regulation and Safety – WorkSafe </w:t>
            </w:r>
          </w:p>
        </w:tc>
        <w:tc>
          <w:tcPr>
            <w:tcW w:w="1698" w:type="pct"/>
          </w:tcPr>
          <w:p w14:paraId="7F687FA3"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1300 794 744</w:t>
            </w:r>
          </w:p>
          <w:p w14:paraId="66F5919D" w14:textId="77777777" w:rsidR="00B7111B" w:rsidRDefault="009A4283"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Style w:val="Hyperlink"/>
                <w:rFonts w:eastAsiaTheme="majorEastAsia" w:cs="Arial"/>
                <w:color w:val="000000" w:themeColor="text1"/>
                <w:szCs w:val="20"/>
              </w:rPr>
            </w:pPr>
            <w:hyperlink r:id="rId33" w:tooltip="Link to WorkCover WA website" w:history="1">
              <w:r w:rsidR="00B7111B" w:rsidRPr="001928BE">
                <w:rPr>
                  <w:rStyle w:val="Hyperlink"/>
                  <w:rFonts w:eastAsiaTheme="majorEastAsia" w:cs="Arial"/>
                  <w:color w:val="000000" w:themeColor="text1"/>
                  <w:szCs w:val="20"/>
                </w:rPr>
                <w:t>www.workcover.wa.gov.au</w:t>
              </w:r>
            </w:hyperlink>
          </w:p>
          <w:p w14:paraId="75E0288C" w14:textId="77777777" w:rsidR="00B7111B" w:rsidRPr="003D6109" w:rsidRDefault="00B7111B"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 w:val="10"/>
                <w:szCs w:val="10"/>
              </w:rPr>
            </w:pPr>
          </w:p>
          <w:p w14:paraId="33806E02"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1300 307 877</w:t>
            </w:r>
          </w:p>
          <w:p w14:paraId="05696EF0" w14:textId="610912F9" w:rsidR="00B7111B" w:rsidRPr="007240E7" w:rsidRDefault="009A4283" w:rsidP="00B7111B">
            <w:pPr>
              <w:spacing w:before="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auto"/>
                <w:szCs w:val="20"/>
              </w:rPr>
            </w:pPr>
            <w:hyperlink r:id="rId34" w:tooltip="Link to Department of Mines, Industry Regulation and Safety– WorkSafe website" w:history="1">
              <w:r w:rsidR="00B7111B" w:rsidRPr="001928BE">
                <w:rPr>
                  <w:rStyle w:val="Hyperlink"/>
                  <w:rFonts w:eastAsiaTheme="majorEastAsia" w:cs="Arial"/>
                  <w:color w:val="000000" w:themeColor="text1"/>
                  <w:szCs w:val="20"/>
                </w:rPr>
                <w:t>www.dmirs.wa.gov.au</w:t>
              </w:r>
            </w:hyperlink>
          </w:p>
        </w:tc>
      </w:tr>
      <w:tr w:rsidR="00B7111B" w:rsidRPr="007240E7" w14:paraId="649D18CC" w14:textId="77777777" w:rsidTr="002452BF">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1435" w:type="pct"/>
          </w:tcPr>
          <w:p w14:paraId="5B781DAA" w14:textId="33BC564A" w:rsidR="00B7111B" w:rsidRPr="007240E7" w:rsidRDefault="00B7111B" w:rsidP="00B7111B">
            <w:pPr>
              <w:spacing w:before="0"/>
              <w:jc w:val="left"/>
              <w:rPr>
                <w:rFonts w:cs="Arial"/>
                <w:szCs w:val="20"/>
              </w:rPr>
            </w:pPr>
            <w:r w:rsidRPr="001928BE">
              <w:rPr>
                <w:rFonts w:cs="Arial"/>
                <w:szCs w:val="20"/>
              </w:rPr>
              <w:t>South Australia</w:t>
            </w:r>
          </w:p>
        </w:tc>
        <w:tc>
          <w:tcPr>
            <w:tcW w:w="1867" w:type="pct"/>
          </w:tcPr>
          <w:p w14:paraId="53AA6E75"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roofErr w:type="spellStart"/>
            <w:r w:rsidRPr="001928BE">
              <w:rPr>
                <w:rFonts w:cs="Arial"/>
                <w:szCs w:val="20"/>
              </w:rPr>
              <w:t>ReturnToWorkSA</w:t>
            </w:r>
            <w:proofErr w:type="spellEnd"/>
          </w:p>
          <w:p w14:paraId="4C5C629C" w14:textId="77777777" w:rsidR="00B7111B"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0F3FC7ED"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 w:val="10"/>
                <w:szCs w:val="10"/>
              </w:rPr>
            </w:pPr>
          </w:p>
          <w:p w14:paraId="0EC64076" w14:textId="1CE58CFE"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SafeWork SA</w:t>
            </w:r>
          </w:p>
        </w:tc>
        <w:tc>
          <w:tcPr>
            <w:tcW w:w="1698" w:type="pct"/>
          </w:tcPr>
          <w:p w14:paraId="420D15B8"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13 18 55</w:t>
            </w:r>
          </w:p>
          <w:p w14:paraId="0B06F87B" w14:textId="77777777" w:rsidR="00B7111B" w:rsidRDefault="009A4283"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Style w:val="Hyperlink"/>
                <w:rFonts w:eastAsiaTheme="majorEastAsia" w:cs="Arial"/>
                <w:color w:val="000000" w:themeColor="text1"/>
                <w:szCs w:val="20"/>
              </w:rPr>
            </w:pPr>
            <w:hyperlink r:id="rId35" w:tooltip="Link to Return to Work SA website" w:history="1">
              <w:r w:rsidR="00B7111B" w:rsidRPr="001928BE">
                <w:rPr>
                  <w:rStyle w:val="Hyperlink"/>
                  <w:rFonts w:eastAsiaTheme="majorEastAsia" w:cs="Arial"/>
                  <w:color w:val="000000" w:themeColor="text1"/>
                  <w:szCs w:val="20"/>
                </w:rPr>
                <w:t>www.rtwsa.com</w:t>
              </w:r>
            </w:hyperlink>
          </w:p>
          <w:p w14:paraId="257748D9" w14:textId="77777777" w:rsidR="00B7111B" w:rsidRPr="003D6109" w:rsidRDefault="00B7111B"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 w:val="10"/>
                <w:szCs w:val="10"/>
              </w:rPr>
            </w:pPr>
          </w:p>
          <w:p w14:paraId="6C326F37"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1300 365 255</w:t>
            </w:r>
          </w:p>
          <w:p w14:paraId="0F5FADD9" w14:textId="65E18EA2" w:rsidR="00B7111B" w:rsidRPr="007240E7" w:rsidRDefault="009A4283"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36" w:tooltip="Link to SafeWork SA website" w:history="1">
              <w:r w:rsidR="00B7111B" w:rsidRPr="001928BE">
                <w:rPr>
                  <w:rStyle w:val="Hyperlink"/>
                  <w:rFonts w:eastAsiaTheme="majorEastAsia" w:cs="Arial"/>
                  <w:color w:val="000000" w:themeColor="text1"/>
                  <w:szCs w:val="20"/>
                </w:rPr>
                <w:t>www.safework.sa.gov.au</w:t>
              </w:r>
            </w:hyperlink>
          </w:p>
        </w:tc>
      </w:tr>
      <w:tr w:rsidR="00B7111B" w:rsidRPr="007240E7" w14:paraId="1D9455CD" w14:textId="77777777" w:rsidTr="007240E7">
        <w:trPr>
          <w:cnfStyle w:val="000000010000" w:firstRow="0" w:lastRow="0" w:firstColumn="0" w:lastColumn="0" w:oddVBand="0" w:evenVBand="0" w:oddHBand="0" w:evenHBand="1" w:firstRowFirstColumn="0" w:firstRowLastColumn="0" w:lastRowFirstColumn="0" w:lastRowLastColumn="0"/>
          <w:trHeight w:val="1137"/>
        </w:trPr>
        <w:tc>
          <w:tcPr>
            <w:cnfStyle w:val="001000000000" w:firstRow="0" w:lastRow="0" w:firstColumn="1" w:lastColumn="0" w:oddVBand="0" w:evenVBand="0" w:oddHBand="0" w:evenHBand="0" w:firstRowFirstColumn="0" w:firstRowLastColumn="0" w:lastRowFirstColumn="0" w:lastRowLastColumn="0"/>
            <w:tcW w:w="1435" w:type="pct"/>
          </w:tcPr>
          <w:p w14:paraId="79CD486F" w14:textId="5DC1DFFA" w:rsidR="00B7111B" w:rsidRPr="007240E7" w:rsidRDefault="00B7111B" w:rsidP="00B7111B">
            <w:pPr>
              <w:spacing w:before="0"/>
              <w:jc w:val="left"/>
              <w:rPr>
                <w:rFonts w:cs="Arial"/>
                <w:szCs w:val="20"/>
              </w:rPr>
            </w:pPr>
            <w:r w:rsidRPr="001928BE">
              <w:rPr>
                <w:rFonts w:cs="Arial"/>
                <w:szCs w:val="20"/>
              </w:rPr>
              <w:t>Tasmania</w:t>
            </w:r>
          </w:p>
        </w:tc>
        <w:tc>
          <w:tcPr>
            <w:tcW w:w="1867" w:type="pct"/>
          </w:tcPr>
          <w:p w14:paraId="44B09E7F" w14:textId="71BA64BE"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WorkSafe Tasmania</w:t>
            </w:r>
          </w:p>
        </w:tc>
        <w:tc>
          <w:tcPr>
            <w:tcW w:w="1698" w:type="pct"/>
          </w:tcPr>
          <w:p w14:paraId="73D90D5D"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366 322 (inside Tas)</w:t>
            </w:r>
          </w:p>
          <w:p w14:paraId="68E28C83"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(03) 6166 4600 (outside Tas)</w:t>
            </w:r>
          </w:p>
          <w:p w14:paraId="563574CD" w14:textId="77777777" w:rsidR="00B7111B" w:rsidRPr="001928BE" w:rsidRDefault="009A4283" w:rsidP="00B7111B">
            <w:pPr>
              <w:pStyle w:val="SWALink"/>
              <w:spacing w:before="40" w:after="40"/>
              <w:cnfStyle w:val="000000010000" w:firstRow="0" w:lastRow="0" w:firstColumn="0" w:lastColumn="0" w:oddVBand="0" w:evenVBand="0" w:oddHBand="0" w:evenHBand="1" w:firstRowFirstColumn="0" w:firstRowLastColumn="0" w:lastRowFirstColumn="0" w:lastRowLastColumn="0"/>
              <w:rPr>
                <w:rFonts w:eastAsiaTheme="majorEastAsia" w:cs="Arial"/>
                <w:color w:val="000000" w:themeColor="text1"/>
                <w:szCs w:val="20"/>
              </w:rPr>
            </w:pPr>
            <w:hyperlink r:id="rId37" w:history="1">
              <w:r w:rsidR="00B7111B" w:rsidRPr="001928BE">
                <w:rPr>
                  <w:rStyle w:val="Hyperlink"/>
                  <w:rFonts w:eastAsiaTheme="majorEastAsia" w:cs="Arial"/>
                  <w:color w:val="000000" w:themeColor="text1"/>
                  <w:szCs w:val="20"/>
                </w:rPr>
                <w:t>wstinfo@justice.tas.gov.au</w:t>
              </w:r>
            </w:hyperlink>
          </w:p>
          <w:p w14:paraId="3A6A5D91" w14:textId="5BCEB5F0" w:rsidR="00B7111B" w:rsidRPr="007240E7" w:rsidRDefault="009A4283"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hyperlink r:id="rId38" w:tooltip="Link to WorkSafe Tasmania website" w:history="1">
              <w:r w:rsidR="00B7111B" w:rsidRPr="001928BE">
                <w:rPr>
                  <w:rStyle w:val="Hyperlink"/>
                  <w:rFonts w:eastAsiaTheme="majorEastAsia" w:cs="Arial"/>
                  <w:color w:val="000000" w:themeColor="text1"/>
                  <w:szCs w:val="20"/>
                </w:rPr>
                <w:t>www.worksafe.tas.gov.au</w:t>
              </w:r>
            </w:hyperlink>
          </w:p>
        </w:tc>
      </w:tr>
      <w:tr w:rsidR="00B7111B" w:rsidRPr="007240E7" w14:paraId="5B861A3A" w14:textId="77777777" w:rsidTr="007240E7">
        <w:trPr>
          <w:cnfStyle w:val="000000100000" w:firstRow="0" w:lastRow="0" w:firstColumn="0" w:lastColumn="0" w:oddVBand="0" w:evenVBand="0" w:oddHBand="1"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1435" w:type="pct"/>
          </w:tcPr>
          <w:p w14:paraId="5EAC4FF2" w14:textId="6C932370" w:rsidR="00B7111B" w:rsidRPr="007240E7" w:rsidRDefault="00B7111B" w:rsidP="00B7111B">
            <w:pPr>
              <w:spacing w:before="0"/>
              <w:jc w:val="left"/>
              <w:rPr>
                <w:rFonts w:cs="Arial"/>
                <w:szCs w:val="20"/>
              </w:rPr>
            </w:pPr>
            <w:r w:rsidRPr="001928BE">
              <w:rPr>
                <w:rFonts w:cs="Arial"/>
                <w:szCs w:val="20"/>
              </w:rPr>
              <w:t>Northern Territory</w:t>
            </w:r>
          </w:p>
        </w:tc>
        <w:tc>
          <w:tcPr>
            <w:tcW w:w="1867" w:type="pct"/>
          </w:tcPr>
          <w:p w14:paraId="1383D2C7" w14:textId="5C4DB3C0"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NT WorkSafe</w:t>
            </w:r>
          </w:p>
        </w:tc>
        <w:tc>
          <w:tcPr>
            <w:tcW w:w="1698" w:type="pct"/>
          </w:tcPr>
          <w:p w14:paraId="760AB03B"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r w:rsidRPr="001928BE">
              <w:rPr>
                <w:rFonts w:eastAsiaTheme="majorEastAsia" w:cs="Arial"/>
                <w:color w:val="000000" w:themeColor="text1"/>
                <w:szCs w:val="20"/>
              </w:rPr>
              <w:t>1800 019 115</w:t>
            </w:r>
          </w:p>
          <w:p w14:paraId="1317BA27" w14:textId="77777777" w:rsidR="00B7111B" w:rsidRPr="001928BE" w:rsidRDefault="009A4283"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39" w:history="1">
              <w:r w:rsidR="00B7111B" w:rsidRPr="001928BE">
                <w:rPr>
                  <w:rStyle w:val="Hyperlink"/>
                  <w:rFonts w:eastAsiaTheme="majorEastAsia" w:cs="Arial"/>
                  <w:color w:val="000000" w:themeColor="text1"/>
                  <w:szCs w:val="20"/>
                </w:rPr>
                <w:t>ntworksafe@nt.gov.au</w:t>
              </w:r>
            </w:hyperlink>
          </w:p>
          <w:p w14:paraId="26F68CD9" w14:textId="104D213E" w:rsidR="00B7111B" w:rsidRPr="007240E7" w:rsidRDefault="009A4283"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hyperlink r:id="rId40" w:history="1">
              <w:r w:rsidR="00B7111B" w:rsidRPr="001928BE">
                <w:rPr>
                  <w:rStyle w:val="Hyperlink"/>
                  <w:rFonts w:eastAsiaTheme="majorEastAsia" w:cs="Arial"/>
                  <w:color w:val="000000" w:themeColor="text1"/>
                  <w:szCs w:val="20"/>
                </w:rPr>
                <w:t>www.worksafe.nt.gov.au</w:t>
              </w:r>
            </w:hyperlink>
          </w:p>
        </w:tc>
      </w:tr>
      <w:tr w:rsidR="00B7111B" w:rsidRPr="007240E7" w14:paraId="43A76BC0" w14:textId="77777777" w:rsidTr="00B7111B">
        <w:trPr>
          <w:cnfStyle w:val="000000010000" w:firstRow="0" w:lastRow="0" w:firstColumn="0" w:lastColumn="0" w:oddVBand="0" w:evenVBand="0" w:oddHBand="0" w:evenHBand="1"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1435" w:type="pct"/>
          </w:tcPr>
          <w:p w14:paraId="42A90228" w14:textId="10F87E42" w:rsidR="00B7111B" w:rsidRPr="007240E7" w:rsidRDefault="00B7111B" w:rsidP="00B7111B">
            <w:pPr>
              <w:pStyle w:val="NoParagraphStyle"/>
              <w:rPr>
                <w:rFonts w:ascii="Arial" w:hAnsi="Arial" w:cs="Arial"/>
                <w:sz w:val="20"/>
                <w:szCs w:val="20"/>
              </w:rPr>
            </w:pPr>
            <w:r w:rsidRPr="001928BE">
              <w:rPr>
                <w:rFonts w:ascii="Arial" w:hAnsi="Arial" w:cs="Arial"/>
                <w:sz w:val="20"/>
                <w:szCs w:val="20"/>
              </w:rPr>
              <w:t>Australian Capital Territory</w:t>
            </w:r>
          </w:p>
        </w:tc>
        <w:tc>
          <w:tcPr>
            <w:tcW w:w="1867" w:type="pct"/>
          </w:tcPr>
          <w:p w14:paraId="68C47F43" w14:textId="1563FDD2" w:rsidR="00B7111B" w:rsidRPr="007240E7" w:rsidRDefault="00B7111B" w:rsidP="00B7111B">
            <w:pPr>
              <w:pStyle w:val="NoParagraphStyle"/>
              <w:cnfStyle w:val="000000010000" w:firstRow="0" w:lastRow="0" w:firstColumn="0" w:lastColumn="0" w:oddVBand="0" w:evenVBand="0" w:oddHBand="0" w:evenHBand="1" w:firstRowFirstColumn="0" w:firstRowLastColumn="0" w:lastRowFirstColumn="0" w:lastRowLastColumn="0"/>
              <w:rPr>
                <w:rFonts w:ascii="Arial" w:hAnsi="Arial" w:cs="Arial"/>
                <w:sz w:val="20"/>
                <w:szCs w:val="20"/>
              </w:rPr>
            </w:pPr>
            <w:r w:rsidRPr="001928BE">
              <w:rPr>
                <w:rFonts w:ascii="Arial" w:hAnsi="Arial" w:cs="Arial"/>
                <w:sz w:val="20"/>
                <w:szCs w:val="20"/>
              </w:rPr>
              <w:t>WorkSafe ACT</w:t>
            </w:r>
          </w:p>
        </w:tc>
        <w:tc>
          <w:tcPr>
            <w:tcW w:w="1698" w:type="pct"/>
          </w:tcPr>
          <w:p w14:paraId="15927F2E" w14:textId="77777777" w:rsidR="00B7111B" w:rsidRPr="001928BE"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Pr>
                <w:rFonts w:cs="Arial"/>
                <w:color w:val="000000" w:themeColor="text1"/>
                <w:szCs w:val="20"/>
              </w:rPr>
              <w:t>13 22 81</w:t>
            </w:r>
          </w:p>
          <w:p w14:paraId="6FF92258" w14:textId="3025C1A2" w:rsidR="00B7111B" w:rsidRPr="007240E7" w:rsidRDefault="009A4283" w:rsidP="00B7111B">
            <w:pPr>
              <w:spacing w:before="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auto"/>
                <w:szCs w:val="20"/>
              </w:rPr>
            </w:pPr>
            <w:hyperlink r:id="rId41" w:history="1">
              <w:r w:rsidR="00B7111B" w:rsidRPr="001928BE">
                <w:rPr>
                  <w:rStyle w:val="Hyperlink"/>
                  <w:rFonts w:eastAsiaTheme="majorEastAsia" w:cs="Arial"/>
                  <w:color w:val="000000" w:themeColor="text1"/>
                  <w:szCs w:val="20"/>
                </w:rPr>
                <w:t>www.worksafe.act.gov.au</w:t>
              </w:r>
            </w:hyperlink>
          </w:p>
        </w:tc>
      </w:tr>
      <w:tr w:rsidR="00B7111B" w:rsidRPr="007240E7" w14:paraId="55CCCABD" w14:textId="77777777" w:rsidTr="0014356C">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435" w:type="pct"/>
          </w:tcPr>
          <w:p w14:paraId="08DD803E" w14:textId="5C98E935" w:rsidR="00B7111B" w:rsidRPr="007240E7" w:rsidRDefault="00B7111B" w:rsidP="00B7111B">
            <w:pPr>
              <w:spacing w:before="0"/>
              <w:jc w:val="left"/>
              <w:rPr>
                <w:rFonts w:cs="Arial"/>
                <w:szCs w:val="20"/>
              </w:rPr>
            </w:pPr>
            <w:proofErr w:type="spellStart"/>
            <w:r w:rsidRPr="001928BE">
              <w:rPr>
                <w:rFonts w:cs="Arial"/>
                <w:szCs w:val="20"/>
              </w:rPr>
              <w:t>Seacare</w:t>
            </w:r>
            <w:proofErr w:type="spellEnd"/>
          </w:p>
        </w:tc>
        <w:tc>
          <w:tcPr>
            <w:tcW w:w="1867" w:type="pct"/>
          </w:tcPr>
          <w:p w14:paraId="348D75AF" w14:textId="781BCBA5" w:rsidR="00B7111B" w:rsidRPr="007240E7" w:rsidRDefault="00B7111B" w:rsidP="00B7111B">
            <w:pPr>
              <w:spacing w:before="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Seacare Authority</w:t>
            </w:r>
          </w:p>
        </w:tc>
        <w:tc>
          <w:tcPr>
            <w:tcW w:w="1698" w:type="pct"/>
          </w:tcPr>
          <w:p w14:paraId="231E8829"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(02) 6275 0070</w:t>
            </w:r>
          </w:p>
          <w:p w14:paraId="655A54F9" w14:textId="77777777" w:rsidR="00B7111B" w:rsidRPr="001928BE" w:rsidRDefault="009A4283" w:rsidP="00B7111B">
            <w:pPr>
              <w:pStyle w:val="SWALink"/>
              <w:spacing w:before="40" w:after="40"/>
              <w:cnfStyle w:val="000000100000" w:firstRow="0" w:lastRow="0" w:firstColumn="0" w:lastColumn="0" w:oddVBand="0" w:evenVBand="0" w:oddHBand="1" w:evenHBand="0" w:firstRowFirstColumn="0" w:firstRowLastColumn="0" w:lastRowFirstColumn="0" w:lastRowLastColumn="0"/>
              <w:rPr>
                <w:rFonts w:eastAsiaTheme="majorEastAsia" w:cs="Arial"/>
                <w:color w:val="000000" w:themeColor="text1"/>
                <w:szCs w:val="20"/>
              </w:rPr>
            </w:pPr>
            <w:hyperlink r:id="rId42" w:history="1">
              <w:r w:rsidR="00B7111B" w:rsidRPr="001928BE">
                <w:rPr>
                  <w:rStyle w:val="Hyperlink"/>
                  <w:rFonts w:eastAsiaTheme="majorEastAsia" w:cs="Arial"/>
                  <w:color w:val="000000" w:themeColor="text1"/>
                  <w:szCs w:val="20"/>
                </w:rPr>
                <w:t>seacare@comcare.gov.au</w:t>
              </w:r>
            </w:hyperlink>
          </w:p>
          <w:p w14:paraId="5349EB18" w14:textId="557ACA9E" w:rsidR="00B7111B" w:rsidRPr="007240E7" w:rsidRDefault="009A4283"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43" w:tooltip="Link to Seacare Authority website" w:history="1">
              <w:r w:rsidR="00B7111B" w:rsidRPr="001928BE">
                <w:rPr>
                  <w:rStyle w:val="Hyperlink"/>
                  <w:rFonts w:eastAsiaTheme="majorEastAsia" w:cs="Arial"/>
                  <w:color w:val="000000" w:themeColor="text1"/>
                  <w:szCs w:val="20"/>
                </w:rPr>
                <w:t>www.seacare.gov.au</w:t>
              </w:r>
            </w:hyperlink>
          </w:p>
        </w:tc>
      </w:tr>
      <w:tr w:rsidR="00B7111B" w:rsidRPr="007240E7" w14:paraId="37B731E8" w14:textId="77777777" w:rsidTr="002452BF">
        <w:trPr>
          <w:cnfStyle w:val="000000010000" w:firstRow="0" w:lastRow="0" w:firstColumn="0" w:lastColumn="0" w:oddVBand="0" w:evenVBand="0" w:oddHBand="0" w:evenHBand="1"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435" w:type="pct"/>
          </w:tcPr>
          <w:p w14:paraId="2C8A9864" w14:textId="16AF9FFB" w:rsidR="00B7111B" w:rsidRPr="007240E7" w:rsidRDefault="00B7111B" w:rsidP="00B7111B">
            <w:pPr>
              <w:spacing w:before="0"/>
              <w:jc w:val="left"/>
              <w:rPr>
                <w:rFonts w:cs="Arial"/>
                <w:szCs w:val="20"/>
              </w:rPr>
            </w:pPr>
            <w:r w:rsidRPr="001928BE">
              <w:rPr>
                <w:rFonts w:cs="Arial"/>
                <w:szCs w:val="20"/>
              </w:rPr>
              <w:t>Australian Government</w:t>
            </w:r>
          </w:p>
        </w:tc>
        <w:tc>
          <w:tcPr>
            <w:tcW w:w="1867" w:type="pct"/>
          </w:tcPr>
          <w:p w14:paraId="5C050519" w14:textId="0EBEFE9F" w:rsidR="00B7111B" w:rsidRPr="007240E7" w:rsidRDefault="00B7111B" w:rsidP="00B7111B">
            <w:pPr>
              <w:spacing w:before="0"/>
              <w:jc w:val="left"/>
              <w:cnfStyle w:val="000000010000" w:firstRow="0" w:lastRow="0" w:firstColumn="0" w:lastColumn="0" w:oddVBand="0" w:evenVBand="0" w:oddHBand="0" w:evenHBand="1" w:firstRowFirstColumn="0" w:firstRowLastColumn="0" w:lastRowFirstColumn="0" w:lastRowLastColumn="0"/>
              <w:rPr>
                <w:rFonts w:cs="Arial"/>
                <w:szCs w:val="20"/>
              </w:rPr>
            </w:pPr>
            <w:r w:rsidRPr="001928BE">
              <w:rPr>
                <w:rFonts w:cs="Arial"/>
                <w:szCs w:val="20"/>
              </w:rPr>
              <w:t>Comcare</w:t>
            </w:r>
          </w:p>
        </w:tc>
        <w:tc>
          <w:tcPr>
            <w:tcW w:w="1698" w:type="pct"/>
          </w:tcPr>
          <w:p w14:paraId="6081DD37" w14:textId="77777777" w:rsidR="00B7111B" w:rsidRPr="001928BE" w:rsidRDefault="00B7111B" w:rsidP="00B7111B">
            <w:pPr>
              <w:spacing w:before="40" w:after="40"/>
              <w:jc w:val="left"/>
              <w:cnfStyle w:val="000000010000" w:firstRow="0" w:lastRow="0" w:firstColumn="0" w:lastColumn="0" w:oddVBand="0" w:evenVBand="0" w:oddHBand="0" w:evenHBand="1" w:firstRowFirstColumn="0" w:firstRowLastColumn="0" w:lastRowFirstColumn="0" w:lastRowLastColumn="0"/>
              <w:rPr>
                <w:rFonts w:cs="Arial"/>
                <w:color w:val="000000" w:themeColor="text1"/>
                <w:szCs w:val="20"/>
              </w:rPr>
            </w:pPr>
            <w:r w:rsidRPr="001928BE">
              <w:rPr>
                <w:rFonts w:cs="Arial"/>
                <w:color w:val="000000" w:themeColor="text1"/>
                <w:szCs w:val="20"/>
              </w:rPr>
              <w:t>1300 366 979</w:t>
            </w:r>
          </w:p>
          <w:p w14:paraId="1B0F5EDE" w14:textId="71106FBA" w:rsidR="00B7111B" w:rsidRPr="007240E7" w:rsidRDefault="009A4283" w:rsidP="00B7111B">
            <w:pPr>
              <w:spacing w:before="0"/>
              <w:jc w:val="left"/>
              <w:cnfStyle w:val="000000010000" w:firstRow="0" w:lastRow="0" w:firstColumn="0" w:lastColumn="0" w:oddVBand="0" w:evenVBand="0" w:oddHBand="0" w:evenHBand="1" w:firstRowFirstColumn="0" w:firstRowLastColumn="0" w:lastRowFirstColumn="0" w:lastRowLastColumn="0"/>
              <w:rPr>
                <w:rStyle w:val="Hyperlinks"/>
                <w:rFonts w:eastAsiaTheme="majorEastAsia" w:cs="Arial"/>
                <w:color w:val="auto"/>
                <w:szCs w:val="20"/>
              </w:rPr>
            </w:pPr>
            <w:hyperlink r:id="rId44" w:tooltip="Link to Comcare website" w:history="1">
              <w:r w:rsidR="00B7111B" w:rsidRPr="001928BE">
                <w:rPr>
                  <w:rStyle w:val="Hyperlink"/>
                  <w:rFonts w:eastAsiaTheme="majorEastAsia" w:cs="Arial"/>
                  <w:color w:val="000000" w:themeColor="text1"/>
                  <w:szCs w:val="20"/>
                </w:rPr>
                <w:t>www.comcare.gov.au</w:t>
              </w:r>
            </w:hyperlink>
          </w:p>
        </w:tc>
      </w:tr>
      <w:tr w:rsidR="00B7111B" w:rsidRPr="007240E7" w14:paraId="7935224B" w14:textId="77777777" w:rsidTr="00050E52">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435" w:type="pct"/>
          </w:tcPr>
          <w:p w14:paraId="0A026129" w14:textId="57FD33AF" w:rsidR="00B7111B" w:rsidRPr="007240E7" w:rsidRDefault="00B7111B" w:rsidP="00B7111B">
            <w:pPr>
              <w:spacing w:before="0"/>
              <w:jc w:val="left"/>
              <w:rPr>
                <w:rFonts w:cs="Arial"/>
                <w:szCs w:val="20"/>
              </w:rPr>
            </w:pPr>
            <w:r w:rsidRPr="001928BE">
              <w:rPr>
                <w:rFonts w:cs="Arial"/>
                <w:szCs w:val="20"/>
              </w:rPr>
              <w:t>New Zealand</w:t>
            </w:r>
          </w:p>
        </w:tc>
        <w:tc>
          <w:tcPr>
            <w:tcW w:w="1867" w:type="pct"/>
          </w:tcPr>
          <w:p w14:paraId="56B164E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Accident Compensation Corporation</w:t>
            </w:r>
          </w:p>
          <w:p w14:paraId="6E782F01"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szCs w:val="20"/>
              </w:rPr>
            </w:pPr>
          </w:p>
          <w:p w14:paraId="375C87C2" w14:textId="696F6F13" w:rsidR="00B7111B" w:rsidRPr="007240E7" w:rsidRDefault="00B7111B" w:rsidP="00B7111B">
            <w:pPr>
              <w:tabs>
                <w:tab w:val="left" w:pos="2445"/>
              </w:tabs>
              <w:cnfStyle w:val="000000100000" w:firstRow="0" w:lastRow="0" w:firstColumn="0" w:lastColumn="0" w:oddVBand="0" w:evenVBand="0" w:oddHBand="1" w:evenHBand="0" w:firstRowFirstColumn="0" w:firstRowLastColumn="0" w:lastRowFirstColumn="0" w:lastRowLastColumn="0"/>
              <w:rPr>
                <w:rFonts w:cs="Arial"/>
                <w:szCs w:val="20"/>
              </w:rPr>
            </w:pPr>
            <w:r w:rsidRPr="001928BE">
              <w:rPr>
                <w:rFonts w:cs="Arial"/>
                <w:szCs w:val="20"/>
              </w:rPr>
              <w:t>WorkSafe New Zealand</w:t>
            </w:r>
          </w:p>
        </w:tc>
        <w:tc>
          <w:tcPr>
            <w:tcW w:w="1698" w:type="pct"/>
          </w:tcPr>
          <w:p w14:paraId="4295EC13"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64 7 848 7400</w:t>
            </w:r>
          </w:p>
          <w:p w14:paraId="0C8E67ED" w14:textId="77777777" w:rsidR="00B7111B" w:rsidRPr="001928BE" w:rsidRDefault="009A4283" w:rsidP="00B7111B">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Cs w:val="20"/>
              </w:rPr>
            </w:pPr>
            <w:hyperlink r:id="rId45" w:tooltip="Accident Compensation Corporation website" w:history="1">
              <w:r w:rsidR="00B7111B" w:rsidRPr="001928BE">
                <w:rPr>
                  <w:rStyle w:val="Hyperlinks"/>
                  <w:rFonts w:eastAsiaTheme="majorEastAsia" w:cs="Arial"/>
                  <w:color w:val="000000" w:themeColor="text1"/>
                  <w:szCs w:val="20"/>
                </w:rPr>
                <w:t>www.acc.co.nz</w:t>
              </w:r>
            </w:hyperlink>
          </w:p>
          <w:p w14:paraId="4E35AC77" w14:textId="77777777" w:rsidR="00B7111B" w:rsidRPr="003D6109"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000000" w:themeColor="text1"/>
                <w:sz w:val="10"/>
                <w:szCs w:val="10"/>
              </w:rPr>
            </w:pPr>
          </w:p>
          <w:p w14:paraId="7C262200" w14:textId="77777777" w:rsidR="00B7111B" w:rsidRPr="001928BE" w:rsidRDefault="00B7111B" w:rsidP="00B7111B">
            <w:pPr>
              <w:spacing w:before="40" w:after="40"/>
              <w:jc w:val="left"/>
              <w:cnfStyle w:val="000000100000" w:firstRow="0" w:lastRow="0" w:firstColumn="0" w:lastColumn="0" w:oddVBand="0" w:evenVBand="0" w:oddHBand="1" w:evenHBand="0" w:firstRowFirstColumn="0" w:firstRowLastColumn="0" w:lastRowFirstColumn="0" w:lastRowLastColumn="0"/>
              <w:rPr>
                <w:rFonts w:cs="Arial"/>
                <w:color w:val="000000" w:themeColor="text1"/>
                <w:szCs w:val="20"/>
              </w:rPr>
            </w:pPr>
            <w:r w:rsidRPr="001928BE">
              <w:rPr>
                <w:rFonts w:cs="Arial"/>
                <w:color w:val="000000" w:themeColor="text1"/>
                <w:szCs w:val="20"/>
              </w:rPr>
              <w:t>0800 030 040</w:t>
            </w:r>
          </w:p>
          <w:p w14:paraId="2F3757EE" w14:textId="5DF352DC" w:rsidR="00B7111B" w:rsidRPr="007240E7" w:rsidRDefault="009A4283" w:rsidP="00B7111B">
            <w:pPr>
              <w:spacing w:before="0"/>
              <w:jc w:val="left"/>
              <w:cnfStyle w:val="000000100000" w:firstRow="0" w:lastRow="0" w:firstColumn="0" w:lastColumn="0" w:oddVBand="0" w:evenVBand="0" w:oddHBand="1" w:evenHBand="0" w:firstRowFirstColumn="0" w:firstRowLastColumn="0" w:lastRowFirstColumn="0" w:lastRowLastColumn="0"/>
              <w:rPr>
                <w:rStyle w:val="Hyperlinks"/>
                <w:rFonts w:eastAsiaTheme="majorEastAsia" w:cs="Arial"/>
                <w:color w:val="auto"/>
                <w:szCs w:val="20"/>
              </w:rPr>
            </w:pPr>
            <w:hyperlink r:id="rId46" w:history="1">
              <w:r w:rsidR="00B7111B" w:rsidRPr="001928BE">
                <w:rPr>
                  <w:rStyle w:val="Hyperlinks"/>
                  <w:rFonts w:eastAsiaTheme="majorEastAsia" w:cs="Arial"/>
                  <w:color w:val="000000" w:themeColor="text1"/>
                  <w:szCs w:val="20"/>
                </w:rPr>
                <w:t>www.worksafe.govt.nz</w:t>
              </w:r>
            </w:hyperlink>
          </w:p>
        </w:tc>
      </w:tr>
    </w:tbl>
    <w:p w14:paraId="0671997A" w14:textId="4BA578AA" w:rsidR="0032659F" w:rsidRPr="008E2FC0" w:rsidRDefault="0032659F" w:rsidP="008E2FC0">
      <w:pPr>
        <w:rPr>
          <w:sz w:val="2"/>
          <w:szCs w:val="2"/>
        </w:rPr>
      </w:pPr>
    </w:p>
    <w:sectPr w:rsidR="0032659F" w:rsidRPr="008E2FC0" w:rsidSect="00FF31C9">
      <w:headerReference w:type="first" r:id="rId47"/>
      <w:pgSz w:w="11906" w:h="16838"/>
      <w:pgMar w:top="1276" w:right="1276"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C7C05" w14:textId="77777777" w:rsidR="009A4283" w:rsidRDefault="009A4283" w:rsidP="003411E8">
      <w:r>
        <w:separator/>
      </w:r>
    </w:p>
  </w:endnote>
  <w:endnote w:type="continuationSeparator" w:id="0">
    <w:p w14:paraId="6B11AF80" w14:textId="77777777" w:rsidR="009A4283" w:rsidRDefault="009A4283" w:rsidP="0034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0824724"/>
      <w:docPartObj>
        <w:docPartGallery w:val="Page Numbers (Bottom of Page)"/>
        <w:docPartUnique/>
      </w:docPartObj>
    </w:sdtPr>
    <w:sdtEndPr>
      <w:rPr>
        <w:noProof/>
      </w:rPr>
    </w:sdtEndPr>
    <w:sdtContent>
      <w:p w14:paraId="57A2E338" w14:textId="09773B59" w:rsidR="00235EF6" w:rsidRDefault="00235E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4F6DA24" w14:textId="77777777" w:rsidR="00235EF6" w:rsidRDefault="0023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526014"/>
      <w:docPartObj>
        <w:docPartGallery w:val="Page Numbers (Bottom of Page)"/>
        <w:docPartUnique/>
      </w:docPartObj>
    </w:sdtPr>
    <w:sdtEndPr>
      <w:rPr>
        <w:noProof/>
      </w:rPr>
    </w:sdtEndPr>
    <w:sdtContent>
      <w:p w14:paraId="4387B224" w14:textId="77777777" w:rsidR="00235EF6" w:rsidRPr="00510E89" w:rsidRDefault="00235EF6" w:rsidP="004D5E09">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907981"/>
      <w:docPartObj>
        <w:docPartGallery w:val="Page Numbers (Bottom of Page)"/>
        <w:docPartUnique/>
      </w:docPartObj>
    </w:sdtPr>
    <w:sdtEndPr>
      <w:rPr>
        <w:noProof/>
      </w:rPr>
    </w:sdtEndPr>
    <w:sdtContent>
      <w:p w14:paraId="18722628" w14:textId="77777777" w:rsidR="00235EF6" w:rsidRPr="002148A2" w:rsidRDefault="00235EF6" w:rsidP="00B94996">
        <w:pPr>
          <w:pStyle w:val="Footer"/>
        </w:pPr>
        <w:r>
          <w:t>Safe Work Australia</w:t>
        </w:r>
        <w:r>
          <w:tab/>
        </w:r>
        <w:r>
          <w:tab/>
        </w:r>
        <w:r>
          <w:tab/>
        </w:r>
        <w:r>
          <w:tab/>
        </w:r>
        <w:r>
          <w:tab/>
        </w:r>
        <w:r>
          <w:tab/>
        </w:r>
        <w:r>
          <w:tab/>
        </w:r>
        <w:r>
          <w:tab/>
        </w:r>
        <w:r>
          <w:tab/>
        </w:r>
        <w:r>
          <w:fldChar w:fldCharType="begin"/>
        </w:r>
        <w:r>
          <w:instrText xml:space="preserve"> PAGE   \* MERGEFORMAT </w:instrText>
        </w:r>
        <w:r>
          <w:fldChar w:fldCharType="separate"/>
        </w:r>
        <w:r>
          <w:rPr>
            <w:noProof/>
          </w:rPr>
          <w:t>52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B7716" w14:textId="77777777" w:rsidR="00235EF6" w:rsidRPr="00C70B72" w:rsidRDefault="00235EF6" w:rsidP="00CF523E">
    <w:pPr>
      <w:pStyle w:val="Footer"/>
      <w:tabs>
        <w:tab w:val="clear" w:pos="9026"/>
        <w:tab w:val="left" w:pos="7485"/>
        <w:tab w:val="right" w:pos="13892"/>
      </w:tabs>
    </w:pPr>
    <w:r w:rsidRPr="00C70B72">
      <w:tab/>
    </w:r>
    <w:r w:rsidRPr="00C70B72">
      <w:tab/>
    </w:r>
    <w:r w:rsidRPr="00C70B72">
      <w:tab/>
    </w:r>
    <w:sdt>
      <w:sdtPr>
        <w:id w:val="-1018847466"/>
        <w:docPartObj>
          <w:docPartGallery w:val="Page Numbers (Bottom of Page)"/>
          <w:docPartUnique/>
        </w:docPartObj>
      </w:sdtPr>
      <w:sdtEndPr>
        <w:rPr>
          <w:noProof/>
        </w:rPr>
      </w:sdtEndPr>
      <w:sdtContent>
        <w:r w:rsidRPr="00C70B72">
          <w:fldChar w:fldCharType="begin"/>
        </w:r>
        <w:r w:rsidRPr="00C70B72">
          <w:instrText xml:space="preserve"> PAGE   \* MERGEFORMAT </w:instrText>
        </w:r>
        <w:r w:rsidRPr="00C70B72">
          <w:fldChar w:fldCharType="separate"/>
        </w:r>
        <w:r>
          <w:rPr>
            <w:noProof/>
          </w:rPr>
          <w:t>44</w:t>
        </w:r>
        <w:r w:rsidRPr="00C70B7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896E84" w14:textId="77777777" w:rsidR="009A4283" w:rsidRDefault="009A4283" w:rsidP="003411E8">
      <w:r>
        <w:separator/>
      </w:r>
    </w:p>
  </w:footnote>
  <w:footnote w:type="continuationSeparator" w:id="0">
    <w:p w14:paraId="33E36315" w14:textId="77777777" w:rsidR="009A4283" w:rsidRDefault="009A4283" w:rsidP="003411E8">
      <w:r>
        <w:continuationSeparator/>
      </w:r>
    </w:p>
  </w:footnote>
  <w:footnote w:id="1">
    <w:p w14:paraId="5E1B2F1E" w14:textId="73161F0A" w:rsidR="00235EF6" w:rsidRDefault="00235EF6">
      <w:pPr>
        <w:pStyle w:val="FootnoteText"/>
      </w:pPr>
      <w:r>
        <w:rPr>
          <w:rStyle w:val="FootnoteReference"/>
        </w:rPr>
        <w:footnoteRef/>
      </w:r>
      <w:r>
        <w:t xml:space="preserve"> Low ($1,150 pw), medium ($1,800 pw) and high ($2,400 pw) incomes are indicative amounts selected to show differences in entitlements for injured employees between jurisdictions based on income during selected periods of temporary impairment.</w:t>
      </w:r>
    </w:p>
  </w:footnote>
  <w:footnote w:id="2">
    <w:p w14:paraId="53EB830A" w14:textId="77777777" w:rsidR="00235EF6" w:rsidRDefault="00235EF6">
      <w:pPr>
        <w:pStyle w:val="FootnoteText"/>
      </w:pPr>
      <w:r>
        <w:rPr>
          <w:rStyle w:val="FootnoteReference"/>
        </w:rPr>
        <w:footnoteRef/>
      </w:r>
      <w:r>
        <w:t xml:space="preserve"> Step-down denotes the proportionate reduction in the entitlements paid to an injured worker to the increase in time lost (in weeks) from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EF42D" w14:textId="77777777" w:rsidR="00235EF6" w:rsidRDefault="00235EF6" w:rsidP="00C07BFE">
    <w:pPr>
      <w:pStyle w:val="Header"/>
      <w:tabs>
        <w:tab w:val="left" w:pos="28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9A1A" w14:textId="77777777" w:rsidR="00235EF6" w:rsidRPr="007E63ED" w:rsidRDefault="00235EF6" w:rsidP="00B94996">
    <w:pPr>
      <w:pStyle w:val="HeaderChapterStar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86EA2" w14:textId="77777777" w:rsidR="00235EF6" w:rsidRPr="002148A2" w:rsidRDefault="00235EF6" w:rsidP="00B94996">
    <w:pPr>
      <w:pStyle w:val="HeaderChapterStar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B2A02" w14:textId="77777777" w:rsidR="00235EF6" w:rsidRDefault="00235EF6" w:rsidP="00C07BFE">
    <w:pPr>
      <w:pStyle w:val="Header"/>
      <w:tabs>
        <w:tab w:val="left" w:pos="28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C326C"/>
    <w:multiLevelType w:val="hybridMultilevel"/>
    <w:tmpl w:val="0CB252B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990EF5"/>
    <w:multiLevelType w:val="hybridMultilevel"/>
    <w:tmpl w:val="FBD0EDCA"/>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5A3B85"/>
    <w:multiLevelType w:val="hybridMultilevel"/>
    <w:tmpl w:val="34FC2FF2"/>
    <w:lvl w:ilvl="0" w:tplc="0C090001">
      <w:start w:val="1"/>
      <w:numFmt w:val="bullet"/>
      <w:lvlText w:val=""/>
      <w:lvlJc w:val="left"/>
      <w:pPr>
        <w:ind w:left="1495" w:hanging="360"/>
      </w:pPr>
      <w:rPr>
        <w:rFonts w:ascii="Symbol" w:hAnsi="Symbol" w:hint="default"/>
      </w:rPr>
    </w:lvl>
    <w:lvl w:ilvl="1" w:tplc="0C090003" w:tentative="1">
      <w:start w:val="1"/>
      <w:numFmt w:val="bullet"/>
      <w:lvlText w:val="o"/>
      <w:lvlJc w:val="left"/>
      <w:pPr>
        <w:ind w:left="2215" w:hanging="360"/>
      </w:pPr>
      <w:rPr>
        <w:rFonts w:ascii="Courier New" w:hAnsi="Courier New" w:cs="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cs="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cs="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3" w15:restartNumberingAfterBreak="0">
    <w:nsid w:val="04945421"/>
    <w:multiLevelType w:val="hybridMultilevel"/>
    <w:tmpl w:val="9CE8E85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4FF5FFE"/>
    <w:multiLevelType w:val="hybridMultilevel"/>
    <w:tmpl w:val="AA2E4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7E5C04"/>
    <w:multiLevelType w:val="hybridMultilevel"/>
    <w:tmpl w:val="6D8ADF2C"/>
    <w:lvl w:ilvl="0" w:tplc="4BFA4D6E">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6FB0B8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7661204"/>
    <w:multiLevelType w:val="hybridMultilevel"/>
    <w:tmpl w:val="A330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7C3E64"/>
    <w:multiLevelType w:val="hybridMultilevel"/>
    <w:tmpl w:val="7A940E82"/>
    <w:lvl w:ilvl="0" w:tplc="0C090017">
      <w:start w:val="1"/>
      <w:numFmt w:val="lowerLetter"/>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9" w15:restartNumberingAfterBreak="0">
    <w:nsid w:val="0FD523B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067BE7"/>
    <w:multiLevelType w:val="hybridMultilevel"/>
    <w:tmpl w:val="6BF03E0C"/>
    <w:lvl w:ilvl="0" w:tplc="A09879D2">
      <w:start w:val="1"/>
      <w:numFmt w:val="lowerLetter"/>
      <w:pStyle w:val="Footnotecompressed"/>
      <w:lvlText w:val="(%1)"/>
      <w:lvlJc w:val="left"/>
      <w:pPr>
        <w:ind w:left="786" w:hanging="360"/>
      </w:pPr>
      <w:rPr>
        <w:rFonts w:hint="default"/>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0C7128"/>
    <w:multiLevelType w:val="hybridMultilevel"/>
    <w:tmpl w:val="C0702B7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E5C76A4"/>
    <w:multiLevelType w:val="hybridMultilevel"/>
    <w:tmpl w:val="ABC4FFB8"/>
    <w:lvl w:ilvl="0" w:tplc="79481D8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0C6108E"/>
    <w:multiLevelType w:val="hybridMultilevel"/>
    <w:tmpl w:val="8C02A97E"/>
    <w:lvl w:ilvl="0" w:tplc="0C09000F">
      <w:start w:val="1"/>
      <w:numFmt w:val="decimal"/>
      <w:lvlText w:val="%1."/>
      <w:lvlJc w:val="left"/>
      <w:pPr>
        <w:ind w:left="360" w:hanging="360"/>
      </w:pPr>
      <w:rPr>
        <w:rFonts w:hint="default"/>
        <w:sz w:val="14"/>
        <w:szCs w:val="1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384A25"/>
    <w:multiLevelType w:val="hybridMultilevel"/>
    <w:tmpl w:val="D31C74B8"/>
    <w:lvl w:ilvl="0" w:tplc="EE283B42">
      <w:start w:val="1"/>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917629"/>
    <w:multiLevelType w:val="multilevel"/>
    <w:tmpl w:val="0C2A1D70"/>
    <w:lvl w:ilvl="0">
      <w:start w:val="1"/>
      <w:numFmt w:val="decimal"/>
      <w:pStyle w:val="WhiteHeading"/>
      <w:lvlText w:val="%1"/>
      <w:lvlJc w:val="left"/>
      <w:pPr>
        <w:ind w:left="360" w:hanging="360"/>
      </w:pPr>
      <w:rPr>
        <w:rFonts w:hint="default"/>
      </w:rPr>
    </w:lvl>
    <w:lvl w:ilvl="1">
      <w:start w:val="1"/>
      <w:numFmt w:val="decimal"/>
      <w:pStyle w:val="SWA1stHeading"/>
      <w:lvlText w:val="%1.%2."/>
      <w:lvlJc w:val="left"/>
      <w:pPr>
        <w:ind w:left="43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265989"/>
    <w:multiLevelType w:val="hybridMultilevel"/>
    <w:tmpl w:val="7150902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944E36"/>
    <w:multiLevelType w:val="hybridMultilevel"/>
    <w:tmpl w:val="6AA0E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9334FBD"/>
    <w:multiLevelType w:val="hybridMultilevel"/>
    <w:tmpl w:val="AE963DA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96A0939"/>
    <w:multiLevelType w:val="hybridMultilevel"/>
    <w:tmpl w:val="DCC401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A84071"/>
    <w:multiLevelType w:val="hybridMultilevel"/>
    <w:tmpl w:val="F3C0D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C654CF0"/>
    <w:multiLevelType w:val="hybridMultilevel"/>
    <w:tmpl w:val="71BA58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F910DB"/>
    <w:multiLevelType w:val="hybridMultilevel"/>
    <w:tmpl w:val="91004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03003A"/>
    <w:multiLevelType w:val="hybridMultilevel"/>
    <w:tmpl w:val="447E0AA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4" w15:restartNumberingAfterBreak="0">
    <w:nsid w:val="2F8D61C8"/>
    <w:multiLevelType w:val="hybridMultilevel"/>
    <w:tmpl w:val="40B26E2A"/>
    <w:lvl w:ilvl="0" w:tplc="D2F8FE48">
      <w:start w:val="1"/>
      <w:numFmt w:val="bullet"/>
      <w:pStyle w:val="SWA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D8585A"/>
    <w:multiLevelType w:val="hybridMultilevel"/>
    <w:tmpl w:val="9302178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53E3810"/>
    <w:multiLevelType w:val="hybridMultilevel"/>
    <w:tmpl w:val="0CF8DEDA"/>
    <w:lvl w:ilvl="0" w:tplc="09461D44">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5C041FB"/>
    <w:multiLevelType w:val="hybridMultilevel"/>
    <w:tmpl w:val="B33A4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A0B65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D8841FF"/>
    <w:multiLevelType w:val="multilevel"/>
    <w:tmpl w:val="306E4E4C"/>
    <w:lvl w:ilvl="0">
      <w:start w:val="1"/>
      <w:numFmt w:val="bullet"/>
      <w:pStyle w:val="Bullets1"/>
      <w:lvlText w:val=""/>
      <w:lvlJc w:val="left"/>
      <w:pPr>
        <w:tabs>
          <w:tab w:val="num" w:pos="568"/>
        </w:tabs>
        <w:ind w:left="994" w:hanging="426"/>
      </w:pPr>
      <w:rPr>
        <w:rFonts w:ascii="Symbol" w:hAnsi="Symbol" w:hint="default"/>
        <w:u w:color="1C365F"/>
      </w:rPr>
    </w:lvl>
    <w:lvl w:ilvl="1">
      <w:start w:val="1"/>
      <w:numFmt w:val="bullet"/>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42E879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3C17C29"/>
    <w:multiLevelType w:val="hybridMultilevel"/>
    <w:tmpl w:val="08B42D20"/>
    <w:lvl w:ilvl="0" w:tplc="0C090017">
      <w:start w:val="1"/>
      <w:numFmt w:val="lowerLetter"/>
      <w:lvlText w:val="%1)"/>
      <w:lvlJc w:val="left"/>
      <w:pPr>
        <w:ind w:left="786" w:hanging="360"/>
      </w:pPr>
      <w:rPr>
        <w:rFonts w:hint="default"/>
        <w:sz w:val="14"/>
        <w:szCs w:val="1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40C3A64"/>
    <w:multiLevelType w:val="hybridMultilevel"/>
    <w:tmpl w:val="9D16F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922DAC"/>
    <w:multiLevelType w:val="hybridMultilevel"/>
    <w:tmpl w:val="C7302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3753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AA72F8F"/>
    <w:multiLevelType w:val="hybridMultilevel"/>
    <w:tmpl w:val="8B443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3B55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D626F67"/>
    <w:multiLevelType w:val="hybridMultilevel"/>
    <w:tmpl w:val="45CC368A"/>
    <w:lvl w:ilvl="0" w:tplc="59EE69A0">
      <w:start w:val="1"/>
      <w:numFmt w:val="lowerLetter"/>
      <w:pStyle w:val="SWAnumbering"/>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4D7A7F97"/>
    <w:multiLevelType w:val="hybridMultilevel"/>
    <w:tmpl w:val="40A214BE"/>
    <w:lvl w:ilvl="0" w:tplc="3752A2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EC35085"/>
    <w:multiLevelType w:val="hybridMultilevel"/>
    <w:tmpl w:val="9732DAD8"/>
    <w:lvl w:ilvl="0" w:tplc="EE283B42">
      <w:start w:val="1"/>
      <w:numFmt w:val="bullet"/>
      <w:lvlText w:val="-"/>
      <w:lvlJc w:val="left"/>
      <w:pPr>
        <w:ind w:left="2880" w:hanging="360"/>
      </w:pPr>
      <w:rPr>
        <w:rFonts w:ascii="Arial" w:eastAsiaTheme="minorHAnsi" w:hAnsi="Arial" w:cs="Arial"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40" w15:restartNumberingAfterBreak="0">
    <w:nsid w:val="55D81464"/>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61331DAE"/>
    <w:multiLevelType w:val="hybridMultilevel"/>
    <w:tmpl w:val="ABA0BA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28B38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52F01A9"/>
    <w:multiLevelType w:val="multilevel"/>
    <w:tmpl w:val="0C09001F"/>
    <w:lvl w:ilvl="0">
      <w:start w:val="1"/>
      <w:numFmt w:val="decimal"/>
      <w:lvlText w:val="%1."/>
      <w:lvlJc w:val="left"/>
      <w:pPr>
        <w:ind w:left="360" w:hanging="360"/>
      </w:pPr>
      <w:rPr>
        <w:rFonts w:hint="default"/>
        <w:sz w:val="14"/>
        <w:szCs w:val="1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AE51F0B"/>
    <w:multiLevelType w:val="multilevel"/>
    <w:tmpl w:val="733646B6"/>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B137DFE"/>
    <w:multiLevelType w:val="multilevel"/>
    <w:tmpl w:val="4BDA3DC4"/>
    <w:numStyleLink w:val="SecNumb"/>
  </w:abstractNum>
  <w:abstractNum w:abstractNumId="46" w15:restartNumberingAfterBreak="0">
    <w:nsid w:val="6ED53DD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1533C2E"/>
    <w:multiLevelType w:val="hybridMultilevel"/>
    <w:tmpl w:val="D930A3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1A16E6A"/>
    <w:multiLevelType w:val="hybridMultilevel"/>
    <w:tmpl w:val="B33A4D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22672D6"/>
    <w:multiLevelType w:val="hybridMultilevel"/>
    <w:tmpl w:val="3D98852C"/>
    <w:lvl w:ilvl="0" w:tplc="0C09000F">
      <w:start w:val="1"/>
      <w:numFmt w:val="decimal"/>
      <w:lvlText w:val="%1."/>
      <w:lvlJc w:val="left"/>
      <w:pPr>
        <w:ind w:left="360" w:hanging="360"/>
      </w:pPr>
      <w:rPr>
        <w:rFonts w:hint="default"/>
        <w:sz w:val="14"/>
        <w:szCs w:val="1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2C71C6A"/>
    <w:multiLevelType w:val="multilevel"/>
    <w:tmpl w:val="6E54EA98"/>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rPr>
        <w:b w:val="0"/>
        <w:bCs/>
        <w:sz w:val="16"/>
        <w:szCs w:val="1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74F70A34"/>
    <w:multiLevelType w:val="multilevel"/>
    <w:tmpl w:val="733646B6"/>
    <w:lvl w:ilvl="0">
      <w:start w:val="1"/>
      <w:numFmt w:val="decimal"/>
      <w:lvlText w:val="%1."/>
      <w:lvlJc w:val="left"/>
      <w:pPr>
        <w:ind w:left="360" w:hanging="360"/>
      </w:pPr>
      <w:rPr>
        <w:rFonts w:hint="default"/>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79B3FAF"/>
    <w:multiLevelType w:val="hybridMultilevel"/>
    <w:tmpl w:val="E7E4975E"/>
    <w:lvl w:ilvl="0" w:tplc="6A3E47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7A25BCE"/>
    <w:multiLevelType w:val="multilevel"/>
    <w:tmpl w:val="4BDA3DC4"/>
    <w:styleLink w:val="SecNumb"/>
    <w:lvl w:ilvl="0">
      <w:start w:val="1"/>
      <w:numFmt w:val="decimal"/>
      <w:pStyle w:val="SWASectionnumberingheading"/>
      <w:lvlText w:val="%1."/>
      <w:lvlJc w:val="left"/>
      <w:pPr>
        <w:tabs>
          <w:tab w:val="num" w:pos="284"/>
        </w:tabs>
        <w:ind w:left="0" w:firstLine="0"/>
      </w:pPr>
      <w:rPr>
        <w:rFonts w:hint="default"/>
      </w:rPr>
    </w:lvl>
    <w:lvl w:ilvl="1">
      <w:start w:val="1"/>
      <w:numFmt w:val="decimal"/>
      <w:pStyle w:val="SWASectionnum2"/>
      <w:lvlText w:val="%1.%2"/>
      <w:lvlJc w:val="left"/>
      <w:pPr>
        <w:ind w:left="0" w:firstLine="0"/>
      </w:pPr>
      <w:rPr>
        <w:rFonts w:hint="default"/>
      </w:rPr>
    </w:lvl>
    <w:lvl w:ilvl="2">
      <w:start w:val="1"/>
      <w:numFmt w:val="decimal"/>
      <w:pStyle w:val="SWASectionnum3"/>
      <w:lvlText w:val="%1.%2.%3"/>
      <w:lvlJc w:val="left"/>
      <w:pPr>
        <w:ind w:left="851" w:hanging="851"/>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4" w15:restartNumberingAfterBreak="0">
    <w:nsid w:val="7B344D23"/>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5" w15:restartNumberingAfterBreak="0">
    <w:nsid w:val="7DB262F0"/>
    <w:multiLevelType w:val="hybridMultilevel"/>
    <w:tmpl w:val="9C32D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E512D9F"/>
    <w:multiLevelType w:val="multilevel"/>
    <w:tmpl w:val="FDEE175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EF965F7"/>
    <w:multiLevelType w:val="hybridMultilevel"/>
    <w:tmpl w:val="06CE5AB4"/>
    <w:lvl w:ilvl="0" w:tplc="0922C2E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3B41E1"/>
    <w:multiLevelType w:val="hybridMultilevel"/>
    <w:tmpl w:val="0150C890"/>
    <w:lvl w:ilvl="0" w:tplc="3CD40EA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9" w15:restartNumberingAfterBreak="0">
    <w:nsid w:val="7F786E96"/>
    <w:multiLevelType w:val="hybridMultilevel"/>
    <w:tmpl w:val="65C6C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F9D7B2A"/>
    <w:multiLevelType w:val="hybridMultilevel"/>
    <w:tmpl w:val="67D4C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EB2038"/>
    <w:multiLevelType w:val="hybridMultilevel"/>
    <w:tmpl w:val="56E2A402"/>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5"/>
  </w:num>
  <w:num w:numId="2">
    <w:abstractNumId w:val="24"/>
  </w:num>
  <w:num w:numId="3">
    <w:abstractNumId w:val="37"/>
  </w:num>
  <w:num w:numId="4">
    <w:abstractNumId w:val="53"/>
  </w:num>
  <w:num w:numId="5">
    <w:abstractNumId w:val="45"/>
  </w:num>
  <w:num w:numId="6">
    <w:abstractNumId w:val="7"/>
  </w:num>
  <w:num w:numId="7">
    <w:abstractNumId w:val="52"/>
  </w:num>
  <w:num w:numId="8">
    <w:abstractNumId w:val="10"/>
  </w:num>
  <w:num w:numId="9">
    <w:abstractNumId w:val="10"/>
    <w:lvlOverride w:ilvl="0">
      <w:startOverride w:val="1"/>
    </w:lvlOverride>
  </w:num>
  <w:num w:numId="10">
    <w:abstractNumId w:val="3"/>
  </w:num>
  <w:num w:numId="11">
    <w:abstractNumId w:val="59"/>
  </w:num>
  <w:num w:numId="12">
    <w:abstractNumId w:val="32"/>
  </w:num>
  <w:num w:numId="13">
    <w:abstractNumId w:val="22"/>
  </w:num>
  <w:num w:numId="14">
    <w:abstractNumId w:val="10"/>
    <w:lvlOverride w:ilvl="0">
      <w:startOverride w:val="1"/>
    </w:lvlOverride>
  </w:num>
  <w:num w:numId="15">
    <w:abstractNumId w:val="29"/>
  </w:num>
  <w:num w:numId="16">
    <w:abstractNumId w:val="2"/>
  </w:num>
  <w:num w:numId="17">
    <w:abstractNumId w:val="20"/>
  </w:num>
  <w:num w:numId="18">
    <w:abstractNumId w:val="23"/>
  </w:num>
  <w:num w:numId="19">
    <w:abstractNumId w:val="57"/>
  </w:num>
  <w:num w:numId="20">
    <w:abstractNumId w:val="26"/>
  </w:num>
  <w:num w:numId="21">
    <w:abstractNumId w:val="58"/>
  </w:num>
  <w:num w:numId="22">
    <w:abstractNumId w:val="38"/>
  </w:num>
  <w:num w:numId="23">
    <w:abstractNumId w:val="5"/>
  </w:num>
  <w:num w:numId="24">
    <w:abstractNumId w:val="17"/>
  </w:num>
  <w:num w:numId="25">
    <w:abstractNumId w:val="61"/>
  </w:num>
  <w:num w:numId="26">
    <w:abstractNumId w:val="33"/>
  </w:num>
  <w:num w:numId="27">
    <w:abstractNumId w:val="35"/>
  </w:num>
  <w:num w:numId="28">
    <w:abstractNumId w:val="55"/>
  </w:num>
  <w:num w:numId="29">
    <w:abstractNumId w:val="21"/>
  </w:num>
  <w:num w:numId="30">
    <w:abstractNumId w:val="60"/>
  </w:num>
  <w:num w:numId="31">
    <w:abstractNumId w:val="14"/>
  </w:num>
  <w:num w:numId="32">
    <w:abstractNumId w:val="12"/>
  </w:num>
  <w:num w:numId="33">
    <w:abstractNumId w:val="39"/>
  </w:num>
  <w:num w:numId="34">
    <w:abstractNumId w:val="8"/>
  </w:num>
  <w:num w:numId="35">
    <w:abstractNumId w:val="31"/>
  </w:num>
  <w:num w:numId="36">
    <w:abstractNumId w:val="45"/>
  </w:num>
  <w:num w:numId="37">
    <w:abstractNumId w:val="45"/>
  </w:num>
  <w:num w:numId="38">
    <w:abstractNumId w:val="45"/>
  </w:num>
  <w:num w:numId="39">
    <w:abstractNumId w:val="33"/>
  </w:num>
  <w:num w:numId="40">
    <w:abstractNumId w:val="45"/>
  </w:num>
  <w:num w:numId="41">
    <w:abstractNumId w:val="45"/>
  </w:num>
  <w:num w:numId="42">
    <w:abstractNumId w:val="10"/>
    <w:lvlOverride w:ilvl="0">
      <w:startOverride w:val="1"/>
    </w:lvlOverride>
  </w:num>
  <w:num w:numId="43">
    <w:abstractNumId w:val="4"/>
  </w:num>
  <w:num w:numId="44">
    <w:abstractNumId w:val="19"/>
  </w:num>
  <w:num w:numId="45">
    <w:abstractNumId w:val="1"/>
  </w:num>
  <w:num w:numId="46">
    <w:abstractNumId w:val="47"/>
  </w:num>
  <w:num w:numId="47">
    <w:abstractNumId w:val="50"/>
  </w:num>
  <w:num w:numId="48">
    <w:abstractNumId w:val="41"/>
  </w:num>
  <w:num w:numId="49">
    <w:abstractNumId w:val="43"/>
  </w:num>
  <w:num w:numId="50">
    <w:abstractNumId w:val="18"/>
  </w:num>
  <w:num w:numId="51">
    <w:abstractNumId w:val="49"/>
  </w:num>
  <w:num w:numId="52">
    <w:abstractNumId w:val="11"/>
  </w:num>
  <w:num w:numId="53">
    <w:abstractNumId w:val="16"/>
  </w:num>
  <w:num w:numId="54">
    <w:abstractNumId w:val="25"/>
  </w:num>
  <w:num w:numId="55">
    <w:abstractNumId w:val="48"/>
  </w:num>
  <w:num w:numId="56">
    <w:abstractNumId w:val="0"/>
  </w:num>
  <w:num w:numId="57">
    <w:abstractNumId w:val="27"/>
  </w:num>
  <w:num w:numId="58">
    <w:abstractNumId w:val="54"/>
  </w:num>
  <w:num w:numId="59">
    <w:abstractNumId w:val="13"/>
  </w:num>
  <w:num w:numId="60">
    <w:abstractNumId w:val="42"/>
  </w:num>
  <w:num w:numId="61">
    <w:abstractNumId w:val="40"/>
  </w:num>
  <w:num w:numId="62">
    <w:abstractNumId w:val="9"/>
  </w:num>
  <w:num w:numId="63">
    <w:abstractNumId w:val="44"/>
  </w:num>
  <w:num w:numId="64">
    <w:abstractNumId w:val="51"/>
  </w:num>
  <w:num w:numId="65">
    <w:abstractNumId w:val="36"/>
  </w:num>
  <w:num w:numId="66">
    <w:abstractNumId w:val="6"/>
  </w:num>
  <w:num w:numId="67">
    <w:abstractNumId w:val="28"/>
  </w:num>
  <w:num w:numId="68">
    <w:abstractNumId w:val="46"/>
  </w:num>
  <w:num w:numId="69">
    <w:abstractNumId w:val="30"/>
  </w:num>
  <w:num w:numId="70">
    <w:abstractNumId w:val="56"/>
  </w:num>
  <w:num w:numId="71">
    <w:abstractNumId w:val="34"/>
  </w:num>
  <w:num w:numId="72">
    <w:abstractNumId w:val="10"/>
  </w:num>
  <w:num w:numId="73">
    <w:abstractNumId w:val="10"/>
  </w:num>
  <w:num w:numId="74">
    <w:abstractNumId w:val="45"/>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9331a8ac-b95f-4b87-aa30-720e89f286c6"/>
  </w:docVars>
  <w:rsids>
    <w:rsidRoot w:val="00077368"/>
    <w:rsid w:val="00002A2E"/>
    <w:rsid w:val="00005424"/>
    <w:rsid w:val="000071CC"/>
    <w:rsid w:val="000074E3"/>
    <w:rsid w:val="00007583"/>
    <w:rsid w:val="000079B3"/>
    <w:rsid w:val="00010AEC"/>
    <w:rsid w:val="00010AF8"/>
    <w:rsid w:val="000115CE"/>
    <w:rsid w:val="00011F80"/>
    <w:rsid w:val="0001290D"/>
    <w:rsid w:val="000136C0"/>
    <w:rsid w:val="00013EDF"/>
    <w:rsid w:val="0001455F"/>
    <w:rsid w:val="00014BCC"/>
    <w:rsid w:val="00016364"/>
    <w:rsid w:val="00020491"/>
    <w:rsid w:val="00020DBC"/>
    <w:rsid w:val="00020EC4"/>
    <w:rsid w:val="00023393"/>
    <w:rsid w:val="000234ED"/>
    <w:rsid w:val="000249B5"/>
    <w:rsid w:val="00025B7C"/>
    <w:rsid w:val="000264E8"/>
    <w:rsid w:val="000265B3"/>
    <w:rsid w:val="000267EE"/>
    <w:rsid w:val="0002740D"/>
    <w:rsid w:val="0003038D"/>
    <w:rsid w:val="00030E7D"/>
    <w:rsid w:val="0003157E"/>
    <w:rsid w:val="00031D5C"/>
    <w:rsid w:val="00032DFA"/>
    <w:rsid w:val="0003376C"/>
    <w:rsid w:val="00033D19"/>
    <w:rsid w:val="00034C08"/>
    <w:rsid w:val="00035359"/>
    <w:rsid w:val="00035ED1"/>
    <w:rsid w:val="00036775"/>
    <w:rsid w:val="0003756A"/>
    <w:rsid w:val="00037F42"/>
    <w:rsid w:val="00040D5C"/>
    <w:rsid w:val="00041D87"/>
    <w:rsid w:val="000420FA"/>
    <w:rsid w:val="0004239A"/>
    <w:rsid w:val="00042A57"/>
    <w:rsid w:val="00042C54"/>
    <w:rsid w:val="0004347D"/>
    <w:rsid w:val="0004361B"/>
    <w:rsid w:val="00044E95"/>
    <w:rsid w:val="000452DF"/>
    <w:rsid w:val="000456FF"/>
    <w:rsid w:val="00046257"/>
    <w:rsid w:val="000467E1"/>
    <w:rsid w:val="0004681F"/>
    <w:rsid w:val="000468A1"/>
    <w:rsid w:val="00046B73"/>
    <w:rsid w:val="00046C81"/>
    <w:rsid w:val="00046D4A"/>
    <w:rsid w:val="00046F11"/>
    <w:rsid w:val="00047378"/>
    <w:rsid w:val="00047850"/>
    <w:rsid w:val="00050E52"/>
    <w:rsid w:val="0005126F"/>
    <w:rsid w:val="0005333A"/>
    <w:rsid w:val="00053A68"/>
    <w:rsid w:val="0005685A"/>
    <w:rsid w:val="00056A93"/>
    <w:rsid w:val="00056E45"/>
    <w:rsid w:val="000574E1"/>
    <w:rsid w:val="00057827"/>
    <w:rsid w:val="000604A5"/>
    <w:rsid w:val="000616F6"/>
    <w:rsid w:val="00061DA7"/>
    <w:rsid w:val="00063228"/>
    <w:rsid w:val="00064D46"/>
    <w:rsid w:val="00065C06"/>
    <w:rsid w:val="00066C33"/>
    <w:rsid w:val="00067819"/>
    <w:rsid w:val="00070430"/>
    <w:rsid w:val="000711CC"/>
    <w:rsid w:val="00071A12"/>
    <w:rsid w:val="00072117"/>
    <w:rsid w:val="00072D1D"/>
    <w:rsid w:val="0007375D"/>
    <w:rsid w:val="0007618B"/>
    <w:rsid w:val="000764B2"/>
    <w:rsid w:val="00076580"/>
    <w:rsid w:val="00077134"/>
    <w:rsid w:val="00077148"/>
    <w:rsid w:val="00077203"/>
    <w:rsid w:val="0007727D"/>
    <w:rsid w:val="00077368"/>
    <w:rsid w:val="00077BDA"/>
    <w:rsid w:val="00077E05"/>
    <w:rsid w:val="0008023C"/>
    <w:rsid w:val="000832FC"/>
    <w:rsid w:val="00086275"/>
    <w:rsid w:val="00086EAB"/>
    <w:rsid w:val="000871BA"/>
    <w:rsid w:val="00087E20"/>
    <w:rsid w:val="00091258"/>
    <w:rsid w:val="00092037"/>
    <w:rsid w:val="00094284"/>
    <w:rsid w:val="00095E5B"/>
    <w:rsid w:val="00097527"/>
    <w:rsid w:val="000A17E0"/>
    <w:rsid w:val="000A22D0"/>
    <w:rsid w:val="000A2834"/>
    <w:rsid w:val="000A2F7E"/>
    <w:rsid w:val="000A34EC"/>
    <w:rsid w:val="000A3B0D"/>
    <w:rsid w:val="000A3E4B"/>
    <w:rsid w:val="000A4C16"/>
    <w:rsid w:val="000A504C"/>
    <w:rsid w:val="000A601B"/>
    <w:rsid w:val="000A62C5"/>
    <w:rsid w:val="000A76CB"/>
    <w:rsid w:val="000A7E83"/>
    <w:rsid w:val="000B150E"/>
    <w:rsid w:val="000B1572"/>
    <w:rsid w:val="000B1BBF"/>
    <w:rsid w:val="000B211B"/>
    <w:rsid w:val="000B3499"/>
    <w:rsid w:val="000B487E"/>
    <w:rsid w:val="000B49D5"/>
    <w:rsid w:val="000B53FF"/>
    <w:rsid w:val="000B5A03"/>
    <w:rsid w:val="000B5ACE"/>
    <w:rsid w:val="000B5B63"/>
    <w:rsid w:val="000B5E15"/>
    <w:rsid w:val="000C0CC9"/>
    <w:rsid w:val="000C14D3"/>
    <w:rsid w:val="000C1B52"/>
    <w:rsid w:val="000C47CC"/>
    <w:rsid w:val="000C5031"/>
    <w:rsid w:val="000C5B47"/>
    <w:rsid w:val="000C66E2"/>
    <w:rsid w:val="000C68E0"/>
    <w:rsid w:val="000C79F4"/>
    <w:rsid w:val="000D051B"/>
    <w:rsid w:val="000D1EDA"/>
    <w:rsid w:val="000D34EF"/>
    <w:rsid w:val="000D495F"/>
    <w:rsid w:val="000D49B9"/>
    <w:rsid w:val="000D5B63"/>
    <w:rsid w:val="000D7590"/>
    <w:rsid w:val="000D7DA8"/>
    <w:rsid w:val="000E0E7C"/>
    <w:rsid w:val="000E0F9F"/>
    <w:rsid w:val="000E109F"/>
    <w:rsid w:val="000E20AE"/>
    <w:rsid w:val="000E2714"/>
    <w:rsid w:val="000E634D"/>
    <w:rsid w:val="000E6AAB"/>
    <w:rsid w:val="000E706E"/>
    <w:rsid w:val="000E7A5B"/>
    <w:rsid w:val="000F048B"/>
    <w:rsid w:val="000F0BFC"/>
    <w:rsid w:val="000F0EC5"/>
    <w:rsid w:val="000F1AAB"/>
    <w:rsid w:val="000F20D7"/>
    <w:rsid w:val="000F21B6"/>
    <w:rsid w:val="000F307F"/>
    <w:rsid w:val="000F3B3F"/>
    <w:rsid w:val="000F3C4F"/>
    <w:rsid w:val="000F40B9"/>
    <w:rsid w:val="000F4919"/>
    <w:rsid w:val="000F54FC"/>
    <w:rsid w:val="000F5B9F"/>
    <w:rsid w:val="000F6210"/>
    <w:rsid w:val="000F74D0"/>
    <w:rsid w:val="0010011C"/>
    <w:rsid w:val="00101741"/>
    <w:rsid w:val="00101BF6"/>
    <w:rsid w:val="001025F1"/>
    <w:rsid w:val="001028BD"/>
    <w:rsid w:val="001032F2"/>
    <w:rsid w:val="00103DD7"/>
    <w:rsid w:val="0010496A"/>
    <w:rsid w:val="001051D0"/>
    <w:rsid w:val="00105DE2"/>
    <w:rsid w:val="001068DD"/>
    <w:rsid w:val="001072B4"/>
    <w:rsid w:val="001109DA"/>
    <w:rsid w:val="00110C77"/>
    <w:rsid w:val="00111980"/>
    <w:rsid w:val="00114EAA"/>
    <w:rsid w:val="001151AD"/>
    <w:rsid w:val="00115DFA"/>
    <w:rsid w:val="00115E9C"/>
    <w:rsid w:val="00116D33"/>
    <w:rsid w:val="00117CAF"/>
    <w:rsid w:val="0012134D"/>
    <w:rsid w:val="00121487"/>
    <w:rsid w:val="0012227C"/>
    <w:rsid w:val="0012381A"/>
    <w:rsid w:val="001245D6"/>
    <w:rsid w:val="00124A12"/>
    <w:rsid w:val="001251A8"/>
    <w:rsid w:val="00126416"/>
    <w:rsid w:val="00126CAB"/>
    <w:rsid w:val="00126CE3"/>
    <w:rsid w:val="00130A8A"/>
    <w:rsid w:val="001326EE"/>
    <w:rsid w:val="0013431C"/>
    <w:rsid w:val="00134D78"/>
    <w:rsid w:val="00134FFA"/>
    <w:rsid w:val="00135E4E"/>
    <w:rsid w:val="00136733"/>
    <w:rsid w:val="00137A05"/>
    <w:rsid w:val="0014102D"/>
    <w:rsid w:val="00141437"/>
    <w:rsid w:val="0014173C"/>
    <w:rsid w:val="001419AB"/>
    <w:rsid w:val="00142738"/>
    <w:rsid w:val="001428DD"/>
    <w:rsid w:val="00142B5E"/>
    <w:rsid w:val="00142CBA"/>
    <w:rsid w:val="0014356C"/>
    <w:rsid w:val="00144F53"/>
    <w:rsid w:val="001461B4"/>
    <w:rsid w:val="001471FC"/>
    <w:rsid w:val="001472A2"/>
    <w:rsid w:val="00150190"/>
    <w:rsid w:val="0015143C"/>
    <w:rsid w:val="00152A62"/>
    <w:rsid w:val="00154183"/>
    <w:rsid w:val="00155389"/>
    <w:rsid w:val="00155712"/>
    <w:rsid w:val="0015619C"/>
    <w:rsid w:val="0015627E"/>
    <w:rsid w:val="00156A97"/>
    <w:rsid w:val="001576DC"/>
    <w:rsid w:val="00160B79"/>
    <w:rsid w:val="0016219B"/>
    <w:rsid w:val="00162AE2"/>
    <w:rsid w:val="00163F56"/>
    <w:rsid w:val="001640C3"/>
    <w:rsid w:val="00164531"/>
    <w:rsid w:val="001649A1"/>
    <w:rsid w:val="00166316"/>
    <w:rsid w:val="001665E6"/>
    <w:rsid w:val="001665F1"/>
    <w:rsid w:val="00166732"/>
    <w:rsid w:val="001667E8"/>
    <w:rsid w:val="001669C8"/>
    <w:rsid w:val="0017094E"/>
    <w:rsid w:val="0017103A"/>
    <w:rsid w:val="001722F1"/>
    <w:rsid w:val="001737DD"/>
    <w:rsid w:val="00176D45"/>
    <w:rsid w:val="0018113B"/>
    <w:rsid w:val="00183924"/>
    <w:rsid w:val="00183C74"/>
    <w:rsid w:val="0018666A"/>
    <w:rsid w:val="00187D32"/>
    <w:rsid w:val="00191111"/>
    <w:rsid w:val="00191B46"/>
    <w:rsid w:val="00192F65"/>
    <w:rsid w:val="00193B1D"/>
    <w:rsid w:val="001941A3"/>
    <w:rsid w:val="00194ED6"/>
    <w:rsid w:val="0019511C"/>
    <w:rsid w:val="001952AD"/>
    <w:rsid w:val="0019584A"/>
    <w:rsid w:val="00195CAF"/>
    <w:rsid w:val="00195D58"/>
    <w:rsid w:val="00197EEA"/>
    <w:rsid w:val="001A1261"/>
    <w:rsid w:val="001A162F"/>
    <w:rsid w:val="001A2E7D"/>
    <w:rsid w:val="001A409E"/>
    <w:rsid w:val="001A4211"/>
    <w:rsid w:val="001A4A19"/>
    <w:rsid w:val="001A4C77"/>
    <w:rsid w:val="001A760F"/>
    <w:rsid w:val="001B00BF"/>
    <w:rsid w:val="001B03D9"/>
    <w:rsid w:val="001B06E9"/>
    <w:rsid w:val="001B0AE7"/>
    <w:rsid w:val="001B19AB"/>
    <w:rsid w:val="001B1C72"/>
    <w:rsid w:val="001B20B1"/>
    <w:rsid w:val="001B5929"/>
    <w:rsid w:val="001B5B9B"/>
    <w:rsid w:val="001B5D83"/>
    <w:rsid w:val="001B67B4"/>
    <w:rsid w:val="001B75CF"/>
    <w:rsid w:val="001C0393"/>
    <w:rsid w:val="001C08A1"/>
    <w:rsid w:val="001C0F1E"/>
    <w:rsid w:val="001C2618"/>
    <w:rsid w:val="001C38FD"/>
    <w:rsid w:val="001C43D4"/>
    <w:rsid w:val="001C4FF0"/>
    <w:rsid w:val="001C71AC"/>
    <w:rsid w:val="001D2906"/>
    <w:rsid w:val="001D4B04"/>
    <w:rsid w:val="001D69AD"/>
    <w:rsid w:val="001D7C48"/>
    <w:rsid w:val="001D7E56"/>
    <w:rsid w:val="001E108B"/>
    <w:rsid w:val="001E1343"/>
    <w:rsid w:val="001E24DE"/>
    <w:rsid w:val="001E38FB"/>
    <w:rsid w:val="001E4110"/>
    <w:rsid w:val="001E4FAD"/>
    <w:rsid w:val="001E6270"/>
    <w:rsid w:val="001E66DC"/>
    <w:rsid w:val="001F0596"/>
    <w:rsid w:val="001F1618"/>
    <w:rsid w:val="001F273F"/>
    <w:rsid w:val="001F2AB9"/>
    <w:rsid w:val="001F2B6D"/>
    <w:rsid w:val="001F2DC1"/>
    <w:rsid w:val="001F35A3"/>
    <w:rsid w:val="001F36F3"/>
    <w:rsid w:val="001F617E"/>
    <w:rsid w:val="002007A2"/>
    <w:rsid w:val="00201B53"/>
    <w:rsid w:val="002029BF"/>
    <w:rsid w:val="00203040"/>
    <w:rsid w:val="00203217"/>
    <w:rsid w:val="00204C25"/>
    <w:rsid w:val="00205AA0"/>
    <w:rsid w:val="002061AF"/>
    <w:rsid w:val="002062EB"/>
    <w:rsid w:val="002072F8"/>
    <w:rsid w:val="00210A4A"/>
    <w:rsid w:val="00210E9F"/>
    <w:rsid w:val="0021287F"/>
    <w:rsid w:val="00212E87"/>
    <w:rsid w:val="002136D3"/>
    <w:rsid w:val="00213BAC"/>
    <w:rsid w:val="0021409F"/>
    <w:rsid w:val="002150B3"/>
    <w:rsid w:val="00215EA7"/>
    <w:rsid w:val="00216381"/>
    <w:rsid w:val="0021715C"/>
    <w:rsid w:val="00217DBB"/>
    <w:rsid w:val="00220412"/>
    <w:rsid w:val="00220E70"/>
    <w:rsid w:val="00221810"/>
    <w:rsid w:val="00221EB8"/>
    <w:rsid w:val="002225E4"/>
    <w:rsid w:val="00222F0C"/>
    <w:rsid w:val="00222F6A"/>
    <w:rsid w:val="00223D84"/>
    <w:rsid w:val="0022512F"/>
    <w:rsid w:val="002260EB"/>
    <w:rsid w:val="002269C9"/>
    <w:rsid w:val="00230760"/>
    <w:rsid w:val="00230F63"/>
    <w:rsid w:val="00231598"/>
    <w:rsid w:val="002325A0"/>
    <w:rsid w:val="00232F16"/>
    <w:rsid w:val="00233910"/>
    <w:rsid w:val="00234D80"/>
    <w:rsid w:val="00235EF6"/>
    <w:rsid w:val="00235FAD"/>
    <w:rsid w:val="00236323"/>
    <w:rsid w:val="00240EF8"/>
    <w:rsid w:val="002416FD"/>
    <w:rsid w:val="00241783"/>
    <w:rsid w:val="00242426"/>
    <w:rsid w:val="0024317C"/>
    <w:rsid w:val="002437A3"/>
    <w:rsid w:val="00243D02"/>
    <w:rsid w:val="002440B4"/>
    <w:rsid w:val="0024441D"/>
    <w:rsid w:val="00244DE8"/>
    <w:rsid w:val="002452BF"/>
    <w:rsid w:val="002454D1"/>
    <w:rsid w:val="00245733"/>
    <w:rsid w:val="00246D62"/>
    <w:rsid w:val="002503AC"/>
    <w:rsid w:val="00250579"/>
    <w:rsid w:val="00250BE6"/>
    <w:rsid w:val="00251A2F"/>
    <w:rsid w:val="002524A1"/>
    <w:rsid w:val="00253BA6"/>
    <w:rsid w:val="00254859"/>
    <w:rsid w:val="0025527F"/>
    <w:rsid w:val="00255B27"/>
    <w:rsid w:val="00256A25"/>
    <w:rsid w:val="00256BB5"/>
    <w:rsid w:val="00256CC2"/>
    <w:rsid w:val="00257198"/>
    <w:rsid w:val="00260A4B"/>
    <w:rsid w:val="002646FE"/>
    <w:rsid w:val="0026558F"/>
    <w:rsid w:val="002659E9"/>
    <w:rsid w:val="00265DC4"/>
    <w:rsid w:val="002660FF"/>
    <w:rsid w:val="00267CEA"/>
    <w:rsid w:val="00267F16"/>
    <w:rsid w:val="00271646"/>
    <w:rsid w:val="00271C3A"/>
    <w:rsid w:val="0027245B"/>
    <w:rsid w:val="00272A89"/>
    <w:rsid w:val="00276C7E"/>
    <w:rsid w:val="00277155"/>
    <w:rsid w:val="00280EEA"/>
    <w:rsid w:val="00283A14"/>
    <w:rsid w:val="00283CDE"/>
    <w:rsid w:val="00283D45"/>
    <w:rsid w:val="002840C9"/>
    <w:rsid w:val="00285E0C"/>
    <w:rsid w:val="00287486"/>
    <w:rsid w:val="00290691"/>
    <w:rsid w:val="00291210"/>
    <w:rsid w:val="002912A1"/>
    <w:rsid w:val="002925A3"/>
    <w:rsid w:val="0029290B"/>
    <w:rsid w:val="00292920"/>
    <w:rsid w:val="00293003"/>
    <w:rsid w:val="002934D2"/>
    <w:rsid w:val="00294F2B"/>
    <w:rsid w:val="002957D6"/>
    <w:rsid w:val="00296DAC"/>
    <w:rsid w:val="002972AD"/>
    <w:rsid w:val="002A0048"/>
    <w:rsid w:val="002A1870"/>
    <w:rsid w:val="002A22C1"/>
    <w:rsid w:val="002A2B93"/>
    <w:rsid w:val="002A2D06"/>
    <w:rsid w:val="002A43DF"/>
    <w:rsid w:val="002A4559"/>
    <w:rsid w:val="002A7969"/>
    <w:rsid w:val="002B10E6"/>
    <w:rsid w:val="002B1358"/>
    <w:rsid w:val="002B17BF"/>
    <w:rsid w:val="002B1A0E"/>
    <w:rsid w:val="002B1A51"/>
    <w:rsid w:val="002B2CB7"/>
    <w:rsid w:val="002B30DC"/>
    <w:rsid w:val="002B3742"/>
    <w:rsid w:val="002B39E4"/>
    <w:rsid w:val="002B616F"/>
    <w:rsid w:val="002B7DAE"/>
    <w:rsid w:val="002B7EF4"/>
    <w:rsid w:val="002C04EB"/>
    <w:rsid w:val="002C0906"/>
    <w:rsid w:val="002C0C1F"/>
    <w:rsid w:val="002C2153"/>
    <w:rsid w:val="002C352A"/>
    <w:rsid w:val="002C3997"/>
    <w:rsid w:val="002C3BD8"/>
    <w:rsid w:val="002C456D"/>
    <w:rsid w:val="002C4A75"/>
    <w:rsid w:val="002C502E"/>
    <w:rsid w:val="002C66E8"/>
    <w:rsid w:val="002C7002"/>
    <w:rsid w:val="002C72E2"/>
    <w:rsid w:val="002C7832"/>
    <w:rsid w:val="002C7AAB"/>
    <w:rsid w:val="002C7D82"/>
    <w:rsid w:val="002D0BDE"/>
    <w:rsid w:val="002D0CDA"/>
    <w:rsid w:val="002D124E"/>
    <w:rsid w:val="002D214D"/>
    <w:rsid w:val="002D3274"/>
    <w:rsid w:val="002D4192"/>
    <w:rsid w:val="002D4A73"/>
    <w:rsid w:val="002D50F0"/>
    <w:rsid w:val="002D5F1A"/>
    <w:rsid w:val="002E0253"/>
    <w:rsid w:val="002E0955"/>
    <w:rsid w:val="002E0BB4"/>
    <w:rsid w:val="002E1345"/>
    <w:rsid w:val="002E1600"/>
    <w:rsid w:val="002E2527"/>
    <w:rsid w:val="002E2B12"/>
    <w:rsid w:val="002E2CE5"/>
    <w:rsid w:val="002E4334"/>
    <w:rsid w:val="002E5AC7"/>
    <w:rsid w:val="002E7F64"/>
    <w:rsid w:val="002F0697"/>
    <w:rsid w:val="002F08E9"/>
    <w:rsid w:val="002F1D39"/>
    <w:rsid w:val="002F2153"/>
    <w:rsid w:val="002F254F"/>
    <w:rsid w:val="002F2CF9"/>
    <w:rsid w:val="002F330E"/>
    <w:rsid w:val="002F3A33"/>
    <w:rsid w:val="002F43EA"/>
    <w:rsid w:val="002F4F30"/>
    <w:rsid w:val="002F7D78"/>
    <w:rsid w:val="00301139"/>
    <w:rsid w:val="00301906"/>
    <w:rsid w:val="00302338"/>
    <w:rsid w:val="00305BEA"/>
    <w:rsid w:val="00305F70"/>
    <w:rsid w:val="00306E33"/>
    <w:rsid w:val="003070A9"/>
    <w:rsid w:val="003079A2"/>
    <w:rsid w:val="003119C9"/>
    <w:rsid w:val="00312CFA"/>
    <w:rsid w:val="00313829"/>
    <w:rsid w:val="00314792"/>
    <w:rsid w:val="00314C8A"/>
    <w:rsid w:val="00315BB5"/>
    <w:rsid w:val="003162E3"/>
    <w:rsid w:val="00316354"/>
    <w:rsid w:val="00316808"/>
    <w:rsid w:val="00316D74"/>
    <w:rsid w:val="00317076"/>
    <w:rsid w:val="00317C4A"/>
    <w:rsid w:val="00320B42"/>
    <w:rsid w:val="00320F10"/>
    <w:rsid w:val="003210DC"/>
    <w:rsid w:val="0032110B"/>
    <w:rsid w:val="003212A1"/>
    <w:rsid w:val="00322C50"/>
    <w:rsid w:val="00323724"/>
    <w:rsid w:val="00324224"/>
    <w:rsid w:val="00324FF3"/>
    <w:rsid w:val="00325C69"/>
    <w:rsid w:val="00325E37"/>
    <w:rsid w:val="0032659F"/>
    <w:rsid w:val="00326F2E"/>
    <w:rsid w:val="00330757"/>
    <w:rsid w:val="00331303"/>
    <w:rsid w:val="003323C1"/>
    <w:rsid w:val="00332EC8"/>
    <w:rsid w:val="003330CA"/>
    <w:rsid w:val="00333A32"/>
    <w:rsid w:val="00333A47"/>
    <w:rsid w:val="00335F11"/>
    <w:rsid w:val="00336171"/>
    <w:rsid w:val="0033744E"/>
    <w:rsid w:val="00337E79"/>
    <w:rsid w:val="00337EF8"/>
    <w:rsid w:val="003411E8"/>
    <w:rsid w:val="003417B3"/>
    <w:rsid w:val="00342624"/>
    <w:rsid w:val="003427D2"/>
    <w:rsid w:val="00345041"/>
    <w:rsid w:val="00345C5E"/>
    <w:rsid w:val="00346FA7"/>
    <w:rsid w:val="00347116"/>
    <w:rsid w:val="00347B69"/>
    <w:rsid w:val="00350E0B"/>
    <w:rsid w:val="00351CEE"/>
    <w:rsid w:val="003535BF"/>
    <w:rsid w:val="0035464B"/>
    <w:rsid w:val="00355FA0"/>
    <w:rsid w:val="003576E4"/>
    <w:rsid w:val="00357808"/>
    <w:rsid w:val="003579C6"/>
    <w:rsid w:val="00360FB1"/>
    <w:rsid w:val="00361E38"/>
    <w:rsid w:val="00362109"/>
    <w:rsid w:val="0036373C"/>
    <w:rsid w:val="00363C14"/>
    <w:rsid w:val="00365B5C"/>
    <w:rsid w:val="0036622B"/>
    <w:rsid w:val="00367885"/>
    <w:rsid w:val="00367D96"/>
    <w:rsid w:val="0037367D"/>
    <w:rsid w:val="00373889"/>
    <w:rsid w:val="0037713C"/>
    <w:rsid w:val="0037722D"/>
    <w:rsid w:val="00377464"/>
    <w:rsid w:val="003779BF"/>
    <w:rsid w:val="00381735"/>
    <w:rsid w:val="00381AA1"/>
    <w:rsid w:val="00382027"/>
    <w:rsid w:val="0038280D"/>
    <w:rsid w:val="00383C5E"/>
    <w:rsid w:val="00384422"/>
    <w:rsid w:val="00386371"/>
    <w:rsid w:val="003900BD"/>
    <w:rsid w:val="00390BEA"/>
    <w:rsid w:val="00390CE5"/>
    <w:rsid w:val="00391418"/>
    <w:rsid w:val="003921B0"/>
    <w:rsid w:val="00392F88"/>
    <w:rsid w:val="0039493A"/>
    <w:rsid w:val="00394EB2"/>
    <w:rsid w:val="003955FE"/>
    <w:rsid w:val="00396555"/>
    <w:rsid w:val="00396FF8"/>
    <w:rsid w:val="00397E6C"/>
    <w:rsid w:val="003A0CFF"/>
    <w:rsid w:val="003A0F01"/>
    <w:rsid w:val="003A1680"/>
    <w:rsid w:val="003A2BFB"/>
    <w:rsid w:val="003A2DEB"/>
    <w:rsid w:val="003A3BBE"/>
    <w:rsid w:val="003A4215"/>
    <w:rsid w:val="003A54E2"/>
    <w:rsid w:val="003A5CFE"/>
    <w:rsid w:val="003A6123"/>
    <w:rsid w:val="003A71BD"/>
    <w:rsid w:val="003B035B"/>
    <w:rsid w:val="003B05C6"/>
    <w:rsid w:val="003B1CC3"/>
    <w:rsid w:val="003B308F"/>
    <w:rsid w:val="003B3565"/>
    <w:rsid w:val="003B4903"/>
    <w:rsid w:val="003B52F3"/>
    <w:rsid w:val="003B6462"/>
    <w:rsid w:val="003B65F7"/>
    <w:rsid w:val="003B7215"/>
    <w:rsid w:val="003B7BB3"/>
    <w:rsid w:val="003B7F01"/>
    <w:rsid w:val="003C1443"/>
    <w:rsid w:val="003C1502"/>
    <w:rsid w:val="003C1A15"/>
    <w:rsid w:val="003C2C45"/>
    <w:rsid w:val="003C5AE3"/>
    <w:rsid w:val="003C639E"/>
    <w:rsid w:val="003C675C"/>
    <w:rsid w:val="003C75B0"/>
    <w:rsid w:val="003C7F69"/>
    <w:rsid w:val="003D26B4"/>
    <w:rsid w:val="003D27D1"/>
    <w:rsid w:val="003D5623"/>
    <w:rsid w:val="003D56D8"/>
    <w:rsid w:val="003D613F"/>
    <w:rsid w:val="003D7317"/>
    <w:rsid w:val="003E05CF"/>
    <w:rsid w:val="003E0A80"/>
    <w:rsid w:val="003E0B4F"/>
    <w:rsid w:val="003E0C32"/>
    <w:rsid w:val="003E1A05"/>
    <w:rsid w:val="003E2022"/>
    <w:rsid w:val="003E3B20"/>
    <w:rsid w:val="003E4CC3"/>
    <w:rsid w:val="003E52E3"/>
    <w:rsid w:val="003E5627"/>
    <w:rsid w:val="003E58E2"/>
    <w:rsid w:val="003E63B2"/>
    <w:rsid w:val="003F051B"/>
    <w:rsid w:val="003F14A6"/>
    <w:rsid w:val="003F21C8"/>
    <w:rsid w:val="003F23F2"/>
    <w:rsid w:val="003F47A7"/>
    <w:rsid w:val="003F4BAB"/>
    <w:rsid w:val="003F7FF7"/>
    <w:rsid w:val="0040001C"/>
    <w:rsid w:val="0040071C"/>
    <w:rsid w:val="0040086B"/>
    <w:rsid w:val="004014F4"/>
    <w:rsid w:val="004019E9"/>
    <w:rsid w:val="00401AC8"/>
    <w:rsid w:val="00401B6C"/>
    <w:rsid w:val="00401C1A"/>
    <w:rsid w:val="0040222C"/>
    <w:rsid w:val="004046BE"/>
    <w:rsid w:val="004047FC"/>
    <w:rsid w:val="00405BF7"/>
    <w:rsid w:val="004071FA"/>
    <w:rsid w:val="00407777"/>
    <w:rsid w:val="004102FB"/>
    <w:rsid w:val="00410E54"/>
    <w:rsid w:val="00411127"/>
    <w:rsid w:val="00413046"/>
    <w:rsid w:val="00413F4E"/>
    <w:rsid w:val="0041486D"/>
    <w:rsid w:val="00414ABB"/>
    <w:rsid w:val="00414EB5"/>
    <w:rsid w:val="0041511B"/>
    <w:rsid w:val="004160E6"/>
    <w:rsid w:val="0041666F"/>
    <w:rsid w:val="004171A8"/>
    <w:rsid w:val="004178A0"/>
    <w:rsid w:val="004220CB"/>
    <w:rsid w:val="00424A9C"/>
    <w:rsid w:val="00424F41"/>
    <w:rsid w:val="00426D88"/>
    <w:rsid w:val="0042738D"/>
    <w:rsid w:val="00431260"/>
    <w:rsid w:val="00432828"/>
    <w:rsid w:val="00433D4E"/>
    <w:rsid w:val="00434D7F"/>
    <w:rsid w:val="004364D2"/>
    <w:rsid w:val="0043664B"/>
    <w:rsid w:val="00436EAD"/>
    <w:rsid w:val="00437375"/>
    <w:rsid w:val="00437B7A"/>
    <w:rsid w:val="00440A60"/>
    <w:rsid w:val="00441F4B"/>
    <w:rsid w:val="00443F1E"/>
    <w:rsid w:val="00443F37"/>
    <w:rsid w:val="00444B73"/>
    <w:rsid w:val="004452FB"/>
    <w:rsid w:val="00445D9C"/>
    <w:rsid w:val="00445EC1"/>
    <w:rsid w:val="00446015"/>
    <w:rsid w:val="0044769B"/>
    <w:rsid w:val="0044793D"/>
    <w:rsid w:val="00450118"/>
    <w:rsid w:val="004502B3"/>
    <w:rsid w:val="004503C0"/>
    <w:rsid w:val="00450979"/>
    <w:rsid w:val="00450D85"/>
    <w:rsid w:val="004514D1"/>
    <w:rsid w:val="00455F9A"/>
    <w:rsid w:val="00456A8E"/>
    <w:rsid w:val="004603DC"/>
    <w:rsid w:val="00460F90"/>
    <w:rsid w:val="004611A4"/>
    <w:rsid w:val="004627D8"/>
    <w:rsid w:val="00464DAA"/>
    <w:rsid w:val="00465BAE"/>
    <w:rsid w:val="0046605D"/>
    <w:rsid w:val="004671CA"/>
    <w:rsid w:val="00467627"/>
    <w:rsid w:val="004679F5"/>
    <w:rsid w:val="0047089E"/>
    <w:rsid w:val="0047104D"/>
    <w:rsid w:val="004711BD"/>
    <w:rsid w:val="00471348"/>
    <w:rsid w:val="0047156B"/>
    <w:rsid w:val="00471635"/>
    <w:rsid w:val="004722C7"/>
    <w:rsid w:val="00472312"/>
    <w:rsid w:val="004726BB"/>
    <w:rsid w:val="00472DD9"/>
    <w:rsid w:val="004743A5"/>
    <w:rsid w:val="00474952"/>
    <w:rsid w:val="00476E2C"/>
    <w:rsid w:val="00476FC8"/>
    <w:rsid w:val="0047734B"/>
    <w:rsid w:val="00477695"/>
    <w:rsid w:val="00477706"/>
    <w:rsid w:val="00477BD1"/>
    <w:rsid w:val="00477BE3"/>
    <w:rsid w:val="0048012F"/>
    <w:rsid w:val="00480B47"/>
    <w:rsid w:val="004835B2"/>
    <w:rsid w:val="004835D1"/>
    <w:rsid w:val="00483879"/>
    <w:rsid w:val="00484319"/>
    <w:rsid w:val="00484773"/>
    <w:rsid w:val="004848FD"/>
    <w:rsid w:val="00484FD7"/>
    <w:rsid w:val="00485080"/>
    <w:rsid w:val="004854FA"/>
    <w:rsid w:val="0048561A"/>
    <w:rsid w:val="00485D92"/>
    <w:rsid w:val="00485F5D"/>
    <w:rsid w:val="004871A0"/>
    <w:rsid w:val="00487C22"/>
    <w:rsid w:val="004912D3"/>
    <w:rsid w:val="00491630"/>
    <w:rsid w:val="004919C9"/>
    <w:rsid w:val="00491E98"/>
    <w:rsid w:val="00492139"/>
    <w:rsid w:val="004923DE"/>
    <w:rsid w:val="0049260A"/>
    <w:rsid w:val="00492659"/>
    <w:rsid w:val="00492A89"/>
    <w:rsid w:val="00492C37"/>
    <w:rsid w:val="00493C44"/>
    <w:rsid w:val="00493F82"/>
    <w:rsid w:val="004968EC"/>
    <w:rsid w:val="00497697"/>
    <w:rsid w:val="004978FE"/>
    <w:rsid w:val="004A0FF2"/>
    <w:rsid w:val="004A2646"/>
    <w:rsid w:val="004A4239"/>
    <w:rsid w:val="004A5D12"/>
    <w:rsid w:val="004A772B"/>
    <w:rsid w:val="004A7A01"/>
    <w:rsid w:val="004B0575"/>
    <w:rsid w:val="004B095D"/>
    <w:rsid w:val="004B0B9A"/>
    <w:rsid w:val="004B0D12"/>
    <w:rsid w:val="004B0E00"/>
    <w:rsid w:val="004B4806"/>
    <w:rsid w:val="004B58BD"/>
    <w:rsid w:val="004B5FD3"/>
    <w:rsid w:val="004B6A8E"/>
    <w:rsid w:val="004B6C07"/>
    <w:rsid w:val="004B6C24"/>
    <w:rsid w:val="004B79B6"/>
    <w:rsid w:val="004C173D"/>
    <w:rsid w:val="004C1ACE"/>
    <w:rsid w:val="004C3125"/>
    <w:rsid w:val="004C4108"/>
    <w:rsid w:val="004C4591"/>
    <w:rsid w:val="004C53F3"/>
    <w:rsid w:val="004C5780"/>
    <w:rsid w:val="004C5CFB"/>
    <w:rsid w:val="004C6B0B"/>
    <w:rsid w:val="004C6D0F"/>
    <w:rsid w:val="004C7A6C"/>
    <w:rsid w:val="004D00A1"/>
    <w:rsid w:val="004D032A"/>
    <w:rsid w:val="004D0C7E"/>
    <w:rsid w:val="004D3614"/>
    <w:rsid w:val="004D3ED4"/>
    <w:rsid w:val="004D48F5"/>
    <w:rsid w:val="004D4E6D"/>
    <w:rsid w:val="004D5E09"/>
    <w:rsid w:val="004D6268"/>
    <w:rsid w:val="004E015D"/>
    <w:rsid w:val="004E01DA"/>
    <w:rsid w:val="004E05B2"/>
    <w:rsid w:val="004E1A28"/>
    <w:rsid w:val="004E44B8"/>
    <w:rsid w:val="004E52A3"/>
    <w:rsid w:val="004E5AEC"/>
    <w:rsid w:val="004E61EF"/>
    <w:rsid w:val="004E6EDD"/>
    <w:rsid w:val="004E7AD5"/>
    <w:rsid w:val="004E7F3B"/>
    <w:rsid w:val="004F02BC"/>
    <w:rsid w:val="004F02DD"/>
    <w:rsid w:val="004F075A"/>
    <w:rsid w:val="004F1816"/>
    <w:rsid w:val="004F2B0D"/>
    <w:rsid w:val="004F30E8"/>
    <w:rsid w:val="004F3D2A"/>
    <w:rsid w:val="004F4727"/>
    <w:rsid w:val="004F6215"/>
    <w:rsid w:val="004F69FE"/>
    <w:rsid w:val="004F7AAA"/>
    <w:rsid w:val="00500307"/>
    <w:rsid w:val="00500F06"/>
    <w:rsid w:val="0050228A"/>
    <w:rsid w:val="00504F8F"/>
    <w:rsid w:val="00505714"/>
    <w:rsid w:val="00506048"/>
    <w:rsid w:val="00506056"/>
    <w:rsid w:val="0050682D"/>
    <w:rsid w:val="00506CEB"/>
    <w:rsid w:val="00507167"/>
    <w:rsid w:val="00510E89"/>
    <w:rsid w:val="00512565"/>
    <w:rsid w:val="00513F06"/>
    <w:rsid w:val="0051411F"/>
    <w:rsid w:val="00514218"/>
    <w:rsid w:val="00516ADB"/>
    <w:rsid w:val="00516DF2"/>
    <w:rsid w:val="00520315"/>
    <w:rsid w:val="005204FA"/>
    <w:rsid w:val="005225D2"/>
    <w:rsid w:val="00522A78"/>
    <w:rsid w:val="00522E61"/>
    <w:rsid w:val="0052338D"/>
    <w:rsid w:val="005233AD"/>
    <w:rsid w:val="0052354F"/>
    <w:rsid w:val="005236E1"/>
    <w:rsid w:val="005239FD"/>
    <w:rsid w:val="005263CE"/>
    <w:rsid w:val="005269D9"/>
    <w:rsid w:val="005272E7"/>
    <w:rsid w:val="00527FF2"/>
    <w:rsid w:val="00530931"/>
    <w:rsid w:val="00531BC0"/>
    <w:rsid w:val="00532777"/>
    <w:rsid w:val="005328B6"/>
    <w:rsid w:val="0053393D"/>
    <w:rsid w:val="00533B63"/>
    <w:rsid w:val="005342F6"/>
    <w:rsid w:val="005346BD"/>
    <w:rsid w:val="00535035"/>
    <w:rsid w:val="005350BE"/>
    <w:rsid w:val="005354A4"/>
    <w:rsid w:val="00536BDD"/>
    <w:rsid w:val="0053710D"/>
    <w:rsid w:val="00537D5A"/>
    <w:rsid w:val="00540AC8"/>
    <w:rsid w:val="0054162A"/>
    <w:rsid w:val="00541787"/>
    <w:rsid w:val="00541CC4"/>
    <w:rsid w:val="00542532"/>
    <w:rsid w:val="00542E0D"/>
    <w:rsid w:val="00543281"/>
    <w:rsid w:val="005438C9"/>
    <w:rsid w:val="00544142"/>
    <w:rsid w:val="00544941"/>
    <w:rsid w:val="00545EA8"/>
    <w:rsid w:val="00546165"/>
    <w:rsid w:val="005469D0"/>
    <w:rsid w:val="00546B67"/>
    <w:rsid w:val="00550D0D"/>
    <w:rsid w:val="00551D6C"/>
    <w:rsid w:val="005522CD"/>
    <w:rsid w:val="0055327E"/>
    <w:rsid w:val="005532AB"/>
    <w:rsid w:val="00553741"/>
    <w:rsid w:val="0055487E"/>
    <w:rsid w:val="005561F5"/>
    <w:rsid w:val="00556C1E"/>
    <w:rsid w:val="00557027"/>
    <w:rsid w:val="0056152E"/>
    <w:rsid w:val="00562990"/>
    <w:rsid w:val="00563583"/>
    <w:rsid w:val="0056466E"/>
    <w:rsid w:val="0056552E"/>
    <w:rsid w:val="0056565D"/>
    <w:rsid w:val="0056595D"/>
    <w:rsid w:val="005670B0"/>
    <w:rsid w:val="005677DC"/>
    <w:rsid w:val="005713BE"/>
    <w:rsid w:val="00571636"/>
    <w:rsid w:val="00571C59"/>
    <w:rsid w:val="00571F3F"/>
    <w:rsid w:val="005726BE"/>
    <w:rsid w:val="00574441"/>
    <w:rsid w:val="005745D3"/>
    <w:rsid w:val="00574AD2"/>
    <w:rsid w:val="00581B8B"/>
    <w:rsid w:val="005820B5"/>
    <w:rsid w:val="0058231D"/>
    <w:rsid w:val="00582495"/>
    <w:rsid w:val="00582D5D"/>
    <w:rsid w:val="00582F30"/>
    <w:rsid w:val="005832FC"/>
    <w:rsid w:val="00584E3E"/>
    <w:rsid w:val="0058536D"/>
    <w:rsid w:val="005865B9"/>
    <w:rsid w:val="005866E2"/>
    <w:rsid w:val="00586DCC"/>
    <w:rsid w:val="005871D9"/>
    <w:rsid w:val="005878C7"/>
    <w:rsid w:val="0059184D"/>
    <w:rsid w:val="00592236"/>
    <w:rsid w:val="00592E49"/>
    <w:rsid w:val="0059508B"/>
    <w:rsid w:val="005953FB"/>
    <w:rsid w:val="0059540B"/>
    <w:rsid w:val="005959A7"/>
    <w:rsid w:val="00595CCD"/>
    <w:rsid w:val="00596DAD"/>
    <w:rsid w:val="005973C5"/>
    <w:rsid w:val="005973CE"/>
    <w:rsid w:val="005A02E4"/>
    <w:rsid w:val="005A1F27"/>
    <w:rsid w:val="005A29F5"/>
    <w:rsid w:val="005A4FEC"/>
    <w:rsid w:val="005A553F"/>
    <w:rsid w:val="005A64C8"/>
    <w:rsid w:val="005A6E24"/>
    <w:rsid w:val="005A79F2"/>
    <w:rsid w:val="005B03F2"/>
    <w:rsid w:val="005B07D1"/>
    <w:rsid w:val="005B0875"/>
    <w:rsid w:val="005B1C56"/>
    <w:rsid w:val="005B202C"/>
    <w:rsid w:val="005B4521"/>
    <w:rsid w:val="005B6733"/>
    <w:rsid w:val="005B6F57"/>
    <w:rsid w:val="005B7708"/>
    <w:rsid w:val="005B7DEE"/>
    <w:rsid w:val="005C1488"/>
    <w:rsid w:val="005C2223"/>
    <w:rsid w:val="005C2E0B"/>
    <w:rsid w:val="005C4874"/>
    <w:rsid w:val="005C5B24"/>
    <w:rsid w:val="005C714C"/>
    <w:rsid w:val="005D0128"/>
    <w:rsid w:val="005D0AE4"/>
    <w:rsid w:val="005D7C8D"/>
    <w:rsid w:val="005E0079"/>
    <w:rsid w:val="005E05A1"/>
    <w:rsid w:val="005E0C51"/>
    <w:rsid w:val="005E13B7"/>
    <w:rsid w:val="005E1853"/>
    <w:rsid w:val="005E299A"/>
    <w:rsid w:val="005E4698"/>
    <w:rsid w:val="005E5CC7"/>
    <w:rsid w:val="005E68CA"/>
    <w:rsid w:val="005E6CDF"/>
    <w:rsid w:val="005E7503"/>
    <w:rsid w:val="005F03C1"/>
    <w:rsid w:val="005F0751"/>
    <w:rsid w:val="005F1319"/>
    <w:rsid w:val="005F1601"/>
    <w:rsid w:val="005F18E1"/>
    <w:rsid w:val="005F2D53"/>
    <w:rsid w:val="005F2DC5"/>
    <w:rsid w:val="005F2ED9"/>
    <w:rsid w:val="005F2FC4"/>
    <w:rsid w:val="005F39AB"/>
    <w:rsid w:val="005F4D25"/>
    <w:rsid w:val="005F5559"/>
    <w:rsid w:val="005F58C5"/>
    <w:rsid w:val="005F591D"/>
    <w:rsid w:val="005F5FD2"/>
    <w:rsid w:val="005F70C2"/>
    <w:rsid w:val="005F7828"/>
    <w:rsid w:val="005F7FE9"/>
    <w:rsid w:val="006027D4"/>
    <w:rsid w:val="00603B54"/>
    <w:rsid w:val="006041CD"/>
    <w:rsid w:val="006048AE"/>
    <w:rsid w:val="006062C2"/>
    <w:rsid w:val="00606E32"/>
    <w:rsid w:val="00610941"/>
    <w:rsid w:val="00612D43"/>
    <w:rsid w:val="0061583E"/>
    <w:rsid w:val="00615DD6"/>
    <w:rsid w:val="00615F8E"/>
    <w:rsid w:val="00616B8A"/>
    <w:rsid w:val="00620909"/>
    <w:rsid w:val="00621272"/>
    <w:rsid w:val="0062153C"/>
    <w:rsid w:val="00621C5A"/>
    <w:rsid w:val="006222B0"/>
    <w:rsid w:val="00622474"/>
    <w:rsid w:val="00622534"/>
    <w:rsid w:val="00626BF7"/>
    <w:rsid w:val="006271CF"/>
    <w:rsid w:val="00630B7A"/>
    <w:rsid w:val="0063210B"/>
    <w:rsid w:val="00632D8C"/>
    <w:rsid w:val="00633D94"/>
    <w:rsid w:val="00634509"/>
    <w:rsid w:val="006359B6"/>
    <w:rsid w:val="006361FF"/>
    <w:rsid w:val="00640245"/>
    <w:rsid w:val="0064029A"/>
    <w:rsid w:val="006417F6"/>
    <w:rsid w:val="0064335C"/>
    <w:rsid w:val="00643391"/>
    <w:rsid w:val="00643564"/>
    <w:rsid w:val="00643AB8"/>
    <w:rsid w:val="0064456D"/>
    <w:rsid w:val="00646738"/>
    <w:rsid w:val="00650003"/>
    <w:rsid w:val="00651AD5"/>
    <w:rsid w:val="00651BDF"/>
    <w:rsid w:val="00651D51"/>
    <w:rsid w:val="00652B50"/>
    <w:rsid w:val="00656AF6"/>
    <w:rsid w:val="006614CC"/>
    <w:rsid w:val="00661819"/>
    <w:rsid w:val="00662152"/>
    <w:rsid w:val="00664137"/>
    <w:rsid w:val="006642D8"/>
    <w:rsid w:val="00664DEE"/>
    <w:rsid w:val="00665F9C"/>
    <w:rsid w:val="006670E5"/>
    <w:rsid w:val="0066780B"/>
    <w:rsid w:val="006705DB"/>
    <w:rsid w:val="006710E7"/>
    <w:rsid w:val="0067110C"/>
    <w:rsid w:val="00671BB0"/>
    <w:rsid w:val="006737C8"/>
    <w:rsid w:val="00673D5C"/>
    <w:rsid w:val="00673E9A"/>
    <w:rsid w:val="0067474C"/>
    <w:rsid w:val="00675498"/>
    <w:rsid w:val="00675F49"/>
    <w:rsid w:val="006766B6"/>
    <w:rsid w:val="00681FB7"/>
    <w:rsid w:val="006836CB"/>
    <w:rsid w:val="00684878"/>
    <w:rsid w:val="00685069"/>
    <w:rsid w:val="00687239"/>
    <w:rsid w:val="00690CEB"/>
    <w:rsid w:val="00690E34"/>
    <w:rsid w:val="0069106B"/>
    <w:rsid w:val="00692441"/>
    <w:rsid w:val="006926E8"/>
    <w:rsid w:val="00693312"/>
    <w:rsid w:val="00694A71"/>
    <w:rsid w:val="00695286"/>
    <w:rsid w:val="00695EBE"/>
    <w:rsid w:val="0069604F"/>
    <w:rsid w:val="00696774"/>
    <w:rsid w:val="00696835"/>
    <w:rsid w:val="00697154"/>
    <w:rsid w:val="006A0703"/>
    <w:rsid w:val="006A0C67"/>
    <w:rsid w:val="006A1FE9"/>
    <w:rsid w:val="006A238A"/>
    <w:rsid w:val="006A264B"/>
    <w:rsid w:val="006A3613"/>
    <w:rsid w:val="006A3CBF"/>
    <w:rsid w:val="006A3D58"/>
    <w:rsid w:val="006A4360"/>
    <w:rsid w:val="006A4F84"/>
    <w:rsid w:val="006A572B"/>
    <w:rsid w:val="006A671C"/>
    <w:rsid w:val="006A692D"/>
    <w:rsid w:val="006A6D8A"/>
    <w:rsid w:val="006A7092"/>
    <w:rsid w:val="006A7111"/>
    <w:rsid w:val="006A7683"/>
    <w:rsid w:val="006B1688"/>
    <w:rsid w:val="006B1DC6"/>
    <w:rsid w:val="006B29EE"/>
    <w:rsid w:val="006B2F1E"/>
    <w:rsid w:val="006B30A6"/>
    <w:rsid w:val="006B3682"/>
    <w:rsid w:val="006B3982"/>
    <w:rsid w:val="006B44DF"/>
    <w:rsid w:val="006B78A1"/>
    <w:rsid w:val="006B7FBD"/>
    <w:rsid w:val="006C21B2"/>
    <w:rsid w:val="006C2470"/>
    <w:rsid w:val="006C2F42"/>
    <w:rsid w:val="006C3107"/>
    <w:rsid w:val="006C3741"/>
    <w:rsid w:val="006C44DF"/>
    <w:rsid w:val="006C4B36"/>
    <w:rsid w:val="006C4BFF"/>
    <w:rsid w:val="006C567F"/>
    <w:rsid w:val="006C5AE4"/>
    <w:rsid w:val="006C7041"/>
    <w:rsid w:val="006C7599"/>
    <w:rsid w:val="006C77CF"/>
    <w:rsid w:val="006D11D9"/>
    <w:rsid w:val="006D16A5"/>
    <w:rsid w:val="006D1E09"/>
    <w:rsid w:val="006D221B"/>
    <w:rsid w:val="006D2E61"/>
    <w:rsid w:val="006D31F5"/>
    <w:rsid w:val="006D3EBE"/>
    <w:rsid w:val="006D4E56"/>
    <w:rsid w:val="006D522C"/>
    <w:rsid w:val="006D5FC9"/>
    <w:rsid w:val="006D6B75"/>
    <w:rsid w:val="006D7314"/>
    <w:rsid w:val="006E0499"/>
    <w:rsid w:val="006E0E72"/>
    <w:rsid w:val="006E1372"/>
    <w:rsid w:val="006E1D65"/>
    <w:rsid w:val="006E2105"/>
    <w:rsid w:val="006E3796"/>
    <w:rsid w:val="006E3DED"/>
    <w:rsid w:val="006E4E40"/>
    <w:rsid w:val="006E4EB5"/>
    <w:rsid w:val="006E51F1"/>
    <w:rsid w:val="006E586B"/>
    <w:rsid w:val="006E7BC5"/>
    <w:rsid w:val="006F13D9"/>
    <w:rsid w:val="006F15AC"/>
    <w:rsid w:val="006F17C1"/>
    <w:rsid w:val="006F289E"/>
    <w:rsid w:val="006F31DE"/>
    <w:rsid w:val="006F4108"/>
    <w:rsid w:val="006F446E"/>
    <w:rsid w:val="006F600A"/>
    <w:rsid w:val="006F7573"/>
    <w:rsid w:val="00700143"/>
    <w:rsid w:val="00701028"/>
    <w:rsid w:val="0070122E"/>
    <w:rsid w:val="00702CE2"/>
    <w:rsid w:val="00702D1A"/>
    <w:rsid w:val="00704855"/>
    <w:rsid w:val="00705329"/>
    <w:rsid w:val="00705615"/>
    <w:rsid w:val="00706B53"/>
    <w:rsid w:val="00711CBF"/>
    <w:rsid w:val="007124EE"/>
    <w:rsid w:val="00712C2A"/>
    <w:rsid w:val="007138D3"/>
    <w:rsid w:val="0071424A"/>
    <w:rsid w:val="00715135"/>
    <w:rsid w:val="00716724"/>
    <w:rsid w:val="00720C28"/>
    <w:rsid w:val="00722956"/>
    <w:rsid w:val="007231AE"/>
    <w:rsid w:val="00723715"/>
    <w:rsid w:val="00723768"/>
    <w:rsid w:val="007240E7"/>
    <w:rsid w:val="007253A6"/>
    <w:rsid w:val="00726023"/>
    <w:rsid w:val="00726709"/>
    <w:rsid w:val="00726C74"/>
    <w:rsid w:val="00726F3C"/>
    <w:rsid w:val="00727B25"/>
    <w:rsid w:val="00727DDC"/>
    <w:rsid w:val="0073028E"/>
    <w:rsid w:val="00730894"/>
    <w:rsid w:val="0073098F"/>
    <w:rsid w:val="007312B3"/>
    <w:rsid w:val="00731AA3"/>
    <w:rsid w:val="00732870"/>
    <w:rsid w:val="00732D24"/>
    <w:rsid w:val="00733464"/>
    <w:rsid w:val="00733852"/>
    <w:rsid w:val="00735D8C"/>
    <w:rsid w:val="00735FA6"/>
    <w:rsid w:val="00736659"/>
    <w:rsid w:val="00736F5B"/>
    <w:rsid w:val="00737BA9"/>
    <w:rsid w:val="007412AD"/>
    <w:rsid w:val="007433CD"/>
    <w:rsid w:val="00743805"/>
    <w:rsid w:val="00746222"/>
    <w:rsid w:val="00747417"/>
    <w:rsid w:val="0075034A"/>
    <w:rsid w:val="00750CB1"/>
    <w:rsid w:val="0075208F"/>
    <w:rsid w:val="00752860"/>
    <w:rsid w:val="0075389B"/>
    <w:rsid w:val="00754972"/>
    <w:rsid w:val="007550C7"/>
    <w:rsid w:val="007607EC"/>
    <w:rsid w:val="00761602"/>
    <w:rsid w:val="00761FA0"/>
    <w:rsid w:val="00762385"/>
    <w:rsid w:val="00762915"/>
    <w:rsid w:val="007629EC"/>
    <w:rsid w:val="00762DC2"/>
    <w:rsid w:val="00762E7E"/>
    <w:rsid w:val="00762F4A"/>
    <w:rsid w:val="0076319E"/>
    <w:rsid w:val="00763976"/>
    <w:rsid w:val="0076648D"/>
    <w:rsid w:val="00766510"/>
    <w:rsid w:val="00766ABA"/>
    <w:rsid w:val="00767032"/>
    <w:rsid w:val="00767951"/>
    <w:rsid w:val="0077099E"/>
    <w:rsid w:val="00771000"/>
    <w:rsid w:val="007716D7"/>
    <w:rsid w:val="00771FFB"/>
    <w:rsid w:val="0077238D"/>
    <w:rsid w:val="00772866"/>
    <w:rsid w:val="00772BC7"/>
    <w:rsid w:val="00773A56"/>
    <w:rsid w:val="007744ED"/>
    <w:rsid w:val="00774F11"/>
    <w:rsid w:val="00774F84"/>
    <w:rsid w:val="00776809"/>
    <w:rsid w:val="007768EB"/>
    <w:rsid w:val="007774B3"/>
    <w:rsid w:val="0078012A"/>
    <w:rsid w:val="00780B7F"/>
    <w:rsid w:val="00780C9E"/>
    <w:rsid w:val="00781310"/>
    <w:rsid w:val="007833B6"/>
    <w:rsid w:val="0078405C"/>
    <w:rsid w:val="00784225"/>
    <w:rsid w:val="00784A83"/>
    <w:rsid w:val="007858B2"/>
    <w:rsid w:val="00785A91"/>
    <w:rsid w:val="007870A2"/>
    <w:rsid w:val="00787A6B"/>
    <w:rsid w:val="0079022A"/>
    <w:rsid w:val="0079070D"/>
    <w:rsid w:val="007913A4"/>
    <w:rsid w:val="007938AC"/>
    <w:rsid w:val="007946C1"/>
    <w:rsid w:val="00795341"/>
    <w:rsid w:val="00795E73"/>
    <w:rsid w:val="0079710D"/>
    <w:rsid w:val="00797A29"/>
    <w:rsid w:val="007A0CE9"/>
    <w:rsid w:val="007A0E5C"/>
    <w:rsid w:val="007A0E78"/>
    <w:rsid w:val="007A4B93"/>
    <w:rsid w:val="007A554C"/>
    <w:rsid w:val="007A6545"/>
    <w:rsid w:val="007B0270"/>
    <w:rsid w:val="007B0BA1"/>
    <w:rsid w:val="007B13FB"/>
    <w:rsid w:val="007B2CE8"/>
    <w:rsid w:val="007B2ED7"/>
    <w:rsid w:val="007B31CC"/>
    <w:rsid w:val="007B4BFE"/>
    <w:rsid w:val="007B5266"/>
    <w:rsid w:val="007B558C"/>
    <w:rsid w:val="007C01F9"/>
    <w:rsid w:val="007C12E4"/>
    <w:rsid w:val="007C15C6"/>
    <w:rsid w:val="007C1728"/>
    <w:rsid w:val="007C1A94"/>
    <w:rsid w:val="007C1AD1"/>
    <w:rsid w:val="007C2AE9"/>
    <w:rsid w:val="007C390D"/>
    <w:rsid w:val="007C4BF7"/>
    <w:rsid w:val="007C55A5"/>
    <w:rsid w:val="007C5F76"/>
    <w:rsid w:val="007C79C4"/>
    <w:rsid w:val="007D049E"/>
    <w:rsid w:val="007D09EE"/>
    <w:rsid w:val="007D179E"/>
    <w:rsid w:val="007D1A00"/>
    <w:rsid w:val="007D34F4"/>
    <w:rsid w:val="007D619F"/>
    <w:rsid w:val="007D629E"/>
    <w:rsid w:val="007D7E3B"/>
    <w:rsid w:val="007E1207"/>
    <w:rsid w:val="007E159A"/>
    <w:rsid w:val="007E20A5"/>
    <w:rsid w:val="007E3250"/>
    <w:rsid w:val="007E56F4"/>
    <w:rsid w:val="007E601B"/>
    <w:rsid w:val="007E7EB0"/>
    <w:rsid w:val="007E7F4F"/>
    <w:rsid w:val="007F03B6"/>
    <w:rsid w:val="007F0D18"/>
    <w:rsid w:val="007F2464"/>
    <w:rsid w:val="007F642E"/>
    <w:rsid w:val="007F6795"/>
    <w:rsid w:val="007F67CC"/>
    <w:rsid w:val="007F6B25"/>
    <w:rsid w:val="007F7F97"/>
    <w:rsid w:val="00800B80"/>
    <w:rsid w:val="008016D4"/>
    <w:rsid w:val="008023FC"/>
    <w:rsid w:val="00802871"/>
    <w:rsid w:val="008039EF"/>
    <w:rsid w:val="008066E3"/>
    <w:rsid w:val="00806835"/>
    <w:rsid w:val="008118AD"/>
    <w:rsid w:val="00811E0C"/>
    <w:rsid w:val="00812078"/>
    <w:rsid w:val="00812A53"/>
    <w:rsid w:val="00812C8D"/>
    <w:rsid w:val="00816022"/>
    <w:rsid w:val="008162A9"/>
    <w:rsid w:val="00816AC2"/>
    <w:rsid w:val="00821CBE"/>
    <w:rsid w:val="008221DF"/>
    <w:rsid w:val="008258B8"/>
    <w:rsid w:val="00825DE0"/>
    <w:rsid w:val="00826689"/>
    <w:rsid w:val="00826708"/>
    <w:rsid w:val="00831272"/>
    <w:rsid w:val="00832514"/>
    <w:rsid w:val="00832AB0"/>
    <w:rsid w:val="00835C93"/>
    <w:rsid w:val="00835EBE"/>
    <w:rsid w:val="00836CBF"/>
    <w:rsid w:val="00836FE6"/>
    <w:rsid w:val="00837AD7"/>
    <w:rsid w:val="00840E39"/>
    <w:rsid w:val="00840E44"/>
    <w:rsid w:val="00841238"/>
    <w:rsid w:val="00841974"/>
    <w:rsid w:val="00841EE3"/>
    <w:rsid w:val="00842389"/>
    <w:rsid w:val="008430D0"/>
    <w:rsid w:val="0084327E"/>
    <w:rsid w:val="00844845"/>
    <w:rsid w:val="00844FA9"/>
    <w:rsid w:val="008450EE"/>
    <w:rsid w:val="00845661"/>
    <w:rsid w:val="00846D66"/>
    <w:rsid w:val="00846E4D"/>
    <w:rsid w:val="00846E7A"/>
    <w:rsid w:val="00847782"/>
    <w:rsid w:val="00850392"/>
    <w:rsid w:val="00850400"/>
    <w:rsid w:val="0085064D"/>
    <w:rsid w:val="00852B6C"/>
    <w:rsid w:val="00853882"/>
    <w:rsid w:val="00854242"/>
    <w:rsid w:val="00854CA9"/>
    <w:rsid w:val="008557AA"/>
    <w:rsid w:val="00855F0A"/>
    <w:rsid w:val="008572C6"/>
    <w:rsid w:val="008623D6"/>
    <w:rsid w:val="00863205"/>
    <w:rsid w:val="00863BDF"/>
    <w:rsid w:val="008642F1"/>
    <w:rsid w:val="00865779"/>
    <w:rsid w:val="00865A73"/>
    <w:rsid w:val="008663CB"/>
    <w:rsid w:val="00866898"/>
    <w:rsid w:val="00866F67"/>
    <w:rsid w:val="00870837"/>
    <w:rsid w:val="00874F59"/>
    <w:rsid w:val="0087693A"/>
    <w:rsid w:val="00877C83"/>
    <w:rsid w:val="0088163B"/>
    <w:rsid w:val="00881D2F"/>
    <w:rsid w:val="008825B2"/>
    <w:rsid w:val="00883890"/>
    <w:rsid w:val="00884062"/>
    <w:rsid w:val="00884561"/>
    <w:rsid w:val="00884DD5"/>
    <w:rsid w:val="00885CE5"/>
    <w:rsid w:val="008902C4"/>
    <w:rsid w:val="00890819"/>
    <w:rsid w:val="00890899"/>
    <w:rsid w:val="00891D26"/>
    <w:rsid w:val="008926EB"/>
    <w:rsid w:val="00892C80"/>
    <w:rsid w:val="00893152"/>
    <w:rsid w:val="00894F25"/>
    <w:rsid w:val="00895634"/>
    <w:rsid w:val="00895B36"/>
    <w:rsid w:val="008975CD"/>
    <w:rsid w:val="0089798C"/>
    <w:rsid w:val="00897A31"/>
    <w:rsid w:val="008A1593"/>
    <w:rsid w:val="008A3D45"/>
    <w:rsid w:val="008A59D1"/>
    <w:rsid w:val="008A6296"/>
    <w:rsid w:val="008A6791"/>
    <w:rsid w:val="008A77A6"/>
    <w:rsid w:val="008A7AAD"/>
    <w:rsid w:val="008A7B93"/>
    <w:rsid w:val="008A7E8C"/>
    <w:rsid w:val="008B072E"/>
    <w:rsid w:val="008B1C44"/>
    <w:rsid w:val="008B20B9"/>
    <w:rsid w:val="008B2C86"/>
    <w:rsid w:val="008B2D12"/>
    <w:rsid w:val="008B43F5"/>
    <w:rsid w:val="008B47AD"/>
    <w:rsid w:val="008B5639"/>
    <w:rsid w:val="008B5FCE"/>
    <w:rsid w:val="008B77E6"/>
    <w:rsid w:val="008C0531"/>
    <w:rsid w:val="008C49BA"/>
    <w:rsid w:val="008C5442"/>
    <w:rsid w:val="008C76D1"/>
    <w:rsid w:val="008D1144"/>
    <w:rsid w:val="008D1699"/>
    <w:rsid w:val="008D1BDA"/>
    <w:rsid w:val="008D1E7A"/>
    <w:rsid w:val="008D2162"/>
    <w:rsid w:val="008D2D27"/>
    <w:rsid w:val="008D367D"/>
    <w:rsid w:val="008D3A5F"/>
    <w:rsid w:val="008D4973"/>
    <w:rsid w:val="008D4D84"/>
    <w:rsid w:val="008D5788"/>
    <w:rsid w:val="008D607F"/>
    <w:rsid w:val="008D60B0"/>
    <w:rsid w:val="008D7E9C"/>
    <w:rsid w:val="008E013C"/>
    <w:rsid w:val="008E04B2"/>
    <w:rsid w:val="008E06EC"/>
    <w:rsid w:val="008E2311"/>
    <w:rsid w:val="008E2FC0"/>
    <w:rsid w:val="008E351F"/>
    <w:rsid w:val="008E3886"/>
    <w:rsid w:val="008E540E"/>
    <w:rsid w:val="008E63C4"/>
    <w:rsid w:val="008E6E3D"/>
    <w:rsid w:val="008E7668"/>
    <w:rsid w:val="008F0543"/>
    <w:rsid w:val="008F1615"/>
    <w:rsid w:val="008F17CC"/>
    <w:rsid w:val="008F1805"/>
    <w:rsid w:val="008F2964"/>
    <w:rsid w:val="008F302C"/>
    <w:rsid w:val="008F34BF"/>
    <w:rsid w:val="008F3973"/>
    <w:rsid w:val="008F3ABB"/>
    <w:rsid w:val="008F4107"/>
    <w:rsid w:val="008F4219"/>
    <w:rsid w:val="008F42A9"/>
    <w:rsid w:val="008F4E0F"/>
    <w:rsid w:val="008F52B7"/>
    <w:rsid w:val="008F659A"/>
    <w:rsid w:val="008F6825"/>
    <w:rsid w:val="008F6FE2"/>
    <w:rsid w:val="00900114"/>
    <w:rsid w:val="009018DF"/>
    <w:rsid w:val="00902935"/>
    <w:rsid w:val="00903D2F"/>
    <w:rsid w:val="00903EEF"/>
    <w:rsid w:val="00904A71"/>
    <w:rsid w:val="009060CA"/>
    <w:rsid w:val="00907762"/>
    <w:rsid w:val="00910C47"/>
    <w:rsid w:val="0091104E"/>
    <w:rsid w:val="009119DC"/>
    <w:rsid w:val="00914A57"/>
    <w:rsid w:val="009158AF"/>
    <w:rsid w:val="009160E8"/>
    <w:rsid w:val="00917836"/>
    <w:rsid w:val="00920521"/>
    <w:rsid w:val="00920ECB"/>
    <w:rsid w:val="00920F27"/>
    <w:rsid w:val="00921410"/>
    <w:rsid w:val="00921709"/>
    <w:rsid w:val="009217D3"/>
    <w:rsid w:val="00921F08"/>
    <w:rsid w:val="009223C9"/>
    <w:rsid w:val="00922C0F"/>
    <w:rsid w:val="009233A2"/>
    <w:rsid w:val="009237BD"/>
    <w:rsid w:val="00925644"/>
    <w:rsid w:val="009261F3"/>
    <w:rsid w:val="009304F0"/>
    <w:rsid w:val="00930669"/>
    <w:rsid w:val="00931273"/>
    <w:rsid w:val="00931926"/>
    <w:rsid w:val="00931ADE"/>
    <w:rsid w:val="00931E67"/>
    <w:rsid w:val="00932888"/>
    <w:rsid w:val="00933288"/>
    <w:rsid w:val="0093484A"/>
    <w:rsid w:val="00935771"/>
    <w:rsid w:val="00935795"/>
    <w:rsid w:val="00936917"/>
    <w:rsid w:val="00937113"/>
    <w:rsid w:val="00937370"/>
    <w:rsid w:val="00937CA0"/>
    <w:rsid w:val="00942D30"/>
    <w:rsid w:val="00944876"/>
    <w:rsid w:val="0094494C"/>
    <w:rsid w:val="00944DA3"/>
    <w:rsid w:val="00945D82"/>
    <w:rsid w:val="00946774"/>
    <w:rsid w:val="009506E0"/>
    <w:rsid w:val="009509CB"/>
    <w:rsid w:val="00951506"/>
    <w:rsid w:val="00951C84"/>
    <w:rsid w:val="0095218B"/>
    <w:rsid w:val="00953BB8"/>
    <w:rsid w:val="0095402B"/>
    <w:rsid w:val="00954F2D"/>
    <w:rsid w:val="00963657"/>
    <w:rsid w:val="00964DF8"/>
    <w:rsid w:val="009657F8"/>
    <w:rsid w:val="00965C0B"/>
    <w:rsid w:val="00965FDA"/>
    <w:rsid w:val="00966E6E"/>
    <w:rsid w:val="009673E5"/>
    <w:rsid w:val="00970A7B"/>
    <w:rsid w:val="00973227"/>
    <w:rsid w:val="00974847"/>
    <w:rsid w:val="00975FF5"/>
    <w:rsid w:val="00977671"/>
    <w:rsid w:val="009776D9"/>
    <w:rsid w:val="0098183E"/>
    <w:rsid w:val="00982CEA"/>
    <w:rsid w:val="009841B7"/>
    <w:rsid w:val="00984395"/>
    <w:rsid w:val="00984F29"/>
    <w:rsid w:val="00985CEB"/>
    <w:rsid w:val="00986439"/>
    <w:rsid w:val="009864C0"/>
    <w:rsid w:val="00986780"/>
    <w:rsid w:val="009879C3"/>
    <w:rsid w:val="009900C5"/>
    <w:rsid w:val="009901D3"/>
    <w:rsid w:val="00991C35"/>
    <w:rsid w:val="009939D0"/>
    <w:rsid w:val="00993FF2"/>
    <w:rsid w:val="0099562D"/>
    <w:rsid w:val="009956CA"/>
    <w:rsid w:val="00995D5A"/>
    <w:rsid w:val="0099708B"/>
    <w:rsid w:val="00997370"/>
    <w:rsid w:val="009A01C5"/>
    <w:rsid w:val="009A1C52"/>
    <w:rsid w:val="009A1DB6"/>
    <w:rsid w:val="009A26E6"/>
    <w:rsid w:val="009A3491"/>
    <w:rsid w:val="009A37FE"/>
    <w:rsid w:val="009A4283"/>
    <w:rsid w:val="009A436A"/>
    <w:rsid w:val="009A45E0"/>
    <w:rsid w:val="009A4D9D"/>
    <w:rsid w:val="009A50C6"/>
    <w:rsid w:val="009A63AF"/>
    <w:rsid w:val="009A6460"/>
    <w:rsid w:val="009A6950"/>
    <w:rsid w:val="009A6CC6"/>
    <w:rsid w:val="009A7613"/>
    <w:rsid w:val="009A7A09"/>
    <w:rsid w:val="009B0732"/>
    <w:rsid w:val="009B07AF"/>
    <w:rsid w:val="009B0DEF"/>
    <w:rsid w:val="009B18BA"/>
    <w:rsid w:val="009B1BD1"/>
    <w:rsid w:val="009B1D53"/>
    <w:rsid w:val="009B52CD"/>
    <w:rsid w:val="009B5A4D"/>
    <w:rsid w:val="009B6F6C"/>
    <w:rsid w:val="009B7192"/>
    <w:rsid w:val="009B71AF"/>
    <w:rsid w:val="009B78C5"/>
    <w:rsid w:val="009B7995"/>
    <w:rsid w:val="009B7A51"/>
    <w:rsid w:val="009B7D1D"/>
    <w:rsid w:val="009B7F51"/>
    <w:rsid w:val="009C0785"/>
    <w:rsid w:val="009C0824"/>
    <w:rsid w:val="009C1651"/>
    <w:rsid w:val="009C171A"/>
    <w:rsid w:val="009C2B3D"/>
    <w:rsid w:val="009C545E"/>
    <w:rsid w:val="009C6DA8"/>
    <w:rsid w:val="009C7741"/>
    <w:rsid w:val="009C78B3"/>
    <w:rsid w:val="009D12EA"/>
    <w:rsid w:val="009D19F9"/>
    <w:rsid w:val="009D44CF"/>
    <w:rsid w:val="009D4860"/>
    <w:rsid w:val="009D48CC"/>
    <w:rsid w:val="009D4CE2"/>
    <w:rsid w:val="009D52F9"/>
    <w:rsid w:val="009D5A54"/>
    <w:rsid w:val="009D7045"/>
    <w:rsid w:val="009E0B6E"/>
    <w:rsid w:val="009E208D"/>
    <w:rsid w:val="009E30FD"/>
    <w:rsid w:val="009E3D90"/>
    <w:rsid w:val="009E3F84"/>
    <w:rsid w:val="009E5586"/>
    <w:rsid w:val="009E60AA"/>
    <w:rsid w:val="009E664B"/>
    <w:rsid w:val="009E712B"/>
    <w:rsid w:val="009E7F0D"/>
    <w:rsid w:val="009F084C"/>
    <w:rsid w:val="009F09C7"/>
    <w:rsid w:val="009F34EA"/>
    <w:rsid w:val="009F59E5"/>
    <w:rsid w:val="009F6D58"/>
    <w:rsid w:val="009F70C1"/>
    <w:rsid w:val="009F722E"/>
    <w:rsid w:val="00A00279"/>
    <w:rsid w:val="00A01821"/>
    <w:rsid w:val="00A02028"/>
    <w:rsid w:val="00A02157"/>
    <w:rsid w:val="00A021E2"/>
    <w:rsid w:val="00A0229E"/>
    <w:rsid w:val="00A02398"/>
    <w:rsid w:val="00A029E4"/>
    <w:rsid w:val="00A02A77"/>
    <w:rsid w:val="00A051D9"/>
    <w:rsid w:val="00A05284"/>
    <w:rsid w:val="00A061A7"/>
    <w:rsid w:val="00A062D1"/>
    <w:rsid w:val="00A06BB6"/>
    <w:rsid w:val="00A079D0"/>
    <w:rsid w:val="00A1078B"/>
    <w:rsid w:val="00A10B11"/>
    <w:rsid w:val="00A10C3B"/>
    <w:rsid w:val="00A123C0"/>
    <w:rsid w:val="00A123E1"/>
    <w:rsid w:val="00A12628"/>
    <w:rsid w:val="00A12BF8"/>
    <w:rsid w:val="00A12ED3"/>
    <w:rsid w:val="00A13563"/>
    <w:rsid w:val="00A13926"/>
    <w:rsid w:val="00A14DFF"/>
    <w:rsid w:val="00A15DFB"/>
    <w:rsid w:val="00A16C46"/>
    <w:rsid w:val="00A17051"/>
    <w:rsid w:val="00A200D7"/>
    <w:rsid w:val="00A202D5"/>
    <w:rsid w:val="00A2052F"/>
    <w:rsid w:val="00A20FBC"/>
    <w:rsid w:val="00A212BD"/>
    <w:rsid w:val="00A212D5"/>
    <w:rsid w:val="00A226E4"/>
    <w:rsid w:val="00A2275E"/>
    <w:rsid w:val="00A23799"/>
    <w:rsid w:val="00A26A26"/>
    <w:rsid w:val="00A27C10"/>
    <w:rsid w:val="00A30370"/>
    <w:rsid w:val="00A30AED"/>
    <w:rsid w:val="00A3468A"/>
    <w:rsid w:val="00A355D1"/>
    <w:rsid w:val="00A35800"/>
    <w:rsid w:val="00A35DE3"/>
    <w:rsid w:val="00A35E78"/>
    <w:rsid w:val="00A35F81"/>
    <w:rsid w:val="00A36F08"/>
    <w:rsid w:val="00A374CE"/>
    <w:rsid w:val="00A3792B"/>
    <w:rsid w:val="00A37A4F"/>
    <w:rsid w:val="00A407DF"/>
    <w:rsid w:val="00A408D9"/>
    <w:rsid w:val="00A43848"/>
    <w:rsid w:val="00A43B74"/>
    <w:rsid w:val="00A44950"/>
    <w:rsid w:val="00A457C1"/>
    <w:rsid w:val="00A45F33"/>
    <w:rsid w:val="00A47105"/>
    <w:rsid w:val="00A47D8D"/>
    <w:rsid w:val="00A50EE4"/>
    <w:rsid w:val="00A51ECA"/>
    <w:rsid w:val="00A531EC"/>
    <w:rsid w:val="00A53847"/>
    <w:rsid w:val="00A541BB"/>
    <w:rsid w:val="00A5432F"/>
    <w:rsid w:val="00A5462B"/>
    <w:rsid w:val="00A5500D"/>
    <w:rsid w:val="00A55D1B"/>
    <w:rsid w:val="00A5657B"/>
    <w:rsid w:val="00A60F55"/>
    <w:rsid w:val="00A6167F"/>
    <w:rsid w:val="00A621EA"/>
    <w:rsid w:val="00A63387"/>
    <w:rsid w:val="00A66561"/>
    <w:rsid w:val="00A66A32"/>
    <w:rsid w:val="00A66B0B"/>
    <w:rsid w:val="00A66C5F"/>
    <w:rsid w:val="00A70109"/>
    <w:rsid w:val="00A71AD9"/>
    <w:rsid w:val="00A7255C"/>
    <w:rsid w:val="00A72790"/>
    <w:rsid w:val="00A7292D"/>
    <w:rsid w:val="00A72B7E"/>
    <w:rsid w:val="00A738C5"/>
    <w:rsid w:val="00A739CA"/>
    <w:rsid w:val="00A740C8"/>
    <w:rsid w:val="00A747CA"/>
    <w:rsid w:val="00A754FD"/>
    <w:rsid w:val="00A75DAB"/>
    <w:rsid w:val="00A76113"/>
    <w:rsid w:val="00A7620F"/>
    <w:rsid w:val="00A7625F"/>
    <w:rsid w:val="00A76658"/>
    <w:rsid w:val="00A76AA8"/>
    <w:rsid w:val="00A77289"/>
    <w:rsid w:val="00A77918"/>
    <w:rsid w:val="00A80048"/>
    <w:rsid w:val="00A8049C"/>
    <w:rsid w:val="00A83426"/>
    <w:rsid w:val="00A84E86"/>
    <w:rsid w:val="00A8653F"/>
    <w:rsid w:val="00A86D33"/>
    <w:rsid w:val="00A87905"/>
    <w:rsid w:val="00A87A93"/>
    <w:rsid w:val="00A9216A"/>
    <w:rsid w:val="00A92C52"/>
    <w:rsid w:val="00A93189"/>
    <w:rsid w:val="00A944F2"/>
    <w:rsid w:val="00A954FB"/>
    <w:rsid w:val="00A95714"/>
    <w:rsid w:val="00A95CA2"/>
    <w:rsid w:val="00A95FAE"/>
    <w:rsid w:val="00A976C1"/>
    <w:rsid w:val="00A97AF4"/>
    <w:rsid w:val="00AA194C"/>
    <w:rsid w:val="00AA1ED7"/>
    <w:rsid w:val="00AA2148"/>
    <w:rsid w:val="00AA227F"/>
    <w:rsid w:val="00AA2521"/>
    <w:rsid w:val="00AA3CE2"/>
    <w:rsid w:val="00AA495B"/>
    <w:rsid w:val="00AA666F"/>
    <w:rsid w:val="00AB050F"/>
    <w:rsid w:val="00AB063C"/>
    <w:rsid w:val="00AB20B9"/>
    <w:rsid w:val="00AB2237"/>
    <w:rsid w:val="00AB3A24"/>
    <w:rsid w:val="00AB4930"/>
    <w:rsid w:val="00AB770F"/>
    <w:rsid w:val="00AB7CCC"/>
    <w:rsid w:val="00AB7DFB"/>
    <w:rsid w:val="00AC004A"/>
    <w:rsid w:val="00AC0A9D"/>
    <w:rsid w:val="00AC11CA"/>
    <w:rsid w:val="00AC1212"/>
    <w:rsid w:val="00AC3065"/>
    <w:rsid w:val="00AC30A3"/>
    <w:rsid w:val="00AC45AD"/>
    <w:rsid w:val="00AC522A"/>
    <w:rsid w:val="00AC66B2"/>
    <w:rsid w:val="00AC729C"/>
    <w:rsid w:val="00AC7634"/>
    <w:rsid w:val="00AC7933"/>
    <w:rsid w:val="00AD0B69"/>
    <w:rsid w:val="00AD11A7"/>
    <w:rsid w:val="00AD18AF"/>
    <w:rsid w:val="00AD1AC6"/>
    <w:rsid w:val="00AD23FF"/>
    <w:rsid w:val="00AD2D3A"/>
    <w:rsid w:val="00AD3593"/>
    <w:rsid w:val="00AD4195"/>
    <w:rsid w:val="00AD42DC"/>
    <w:rsid w:val="00AD4680"/>
    <w:rsid w:val="00AD4C66"/>
    <w:rsid w:val="00AD5D3E"/>
    <w:rsid w:val="00AD759D"/>
    <w:rsid w:val="00AD7C8B"/>
    <w:rsid w:val="00AE11F2"/>
    <w:rsid w:val="00AE1E37"/>
    <w:rsid w:val="00AE231D"/>
    <w:rsid w:val="00AE320E"/>
    <w:rsid w:val="00AE3C8B"/>
    <w:rsid w:val="00AE48B5"/>
    <w:rsid w:val="00AE4952"/>
    <w:rsid w:val="00AE579C"/>
    <w:rsid w:val="00AE5CC1"/>
    <w:rsid w:val="00AE73FC"/>
    <w:rsid w:val="00AE7712"/>
    <w:rsid w:val="00AE774A"/>
    <w:rsid w:val="00AE787E"/>
    <w:rsid w:val="00AF080C"/>
    <w:rsid w:val="00AF0B5E"/>
    <w:rsid w:val="00AF128A"/>
    <w:rsid w:val="00AF1525"/>
    <w:rsid w:val="00AF6A93"/>
    <w:rsid w:val="00AF7108"/>
    <w:rsid w:val="00AF7730"/>
    <w:rsid w:val="00AF7807"/>
    <w:rsid w:val="00AF78A7"/>
    <w:rsid w:val="00AF7EC1"/>
    <w:rsid w:val="00B00589"/>
    <w:rsid w:val="00B00E29"/>
    <w:rsid w:val="00B011A4"/>
    <w:rsid w:val="00B019D3"/>
    <w:rsid w:val="00B03023"/>
    <w:rsid w:val="00B0495E"/>
    <w:rsid w:val="00B05634"/>
    <w:rsid w:val="00B05680"/>
    <w:rsid w:val="00B06378"/>
    <w:rsid w:val="00B108E0"/>
    <w:rsid w:val="00B11AE5"/>
    <w:rsid w:val="00B12A03"/>
    <w:rsid w:val="00B12E1D"/>
    <w:rsid w:val="00B13479"/>
    <w:rsid w:val="00B138C5"/>
    <w:rsid w:val="00B22BA6"/>
    <w:rsid w:val="00B2373F"/>
    <w:rsid w:val="00B23E81"/>
    <w:rsid w:val="00B2430D"/>
    <w:rsid w:val="00B25CC8"/>
    <w:rsid w:val="00B274FA"/>
    <w:rsid w:val="00B275FE"/>
    <w:rsid w:val="00B27863"/>
    <w:rsid w:val="00B305A6"/>
    <w:rsid w:val="00B311C7"/>
    <w:rsid w:val="00B31394"/>
    <w:rsid w:val="00B324B4"/>
    <w:rsid w:val="00B33B27"/>
    <w:rsid w:val="00B347F5"/>
    <w:rsid w:val="00B370BD"/>
    <w:rsid w:val="00B376D0"/>
    <w:rsid w:val="00B407A1"/>
    <w:rsid w:val="00B41C82"/>
    <w:rsid w:val="00B432AF"/>
    <w:rsid w:val="00B4399D"/>
    <w:rsid w:val="00B440B1"/>
    <w:rsid w:val="00B44702"/>
    <w:rsid w:val="00B45EC1"/>
    <w:rsid w:val="00B46D19"/>
    <w:rsid w:val="00B47075"/>
    <w:rsid w:val="00B47A83"/>
    <w:rsid w:val="00B51C73"/>
    <w:rsid w:val="00B527BD"/>
    <w:rsid w:val="00B52E45"/>
    <w:rsid w:val="00B53B92"/>
    <w:rsid w:val="00B54813"/>
    <w:rsid w:val="00B5544D"/>
    <w:rsid w:val="00B56549"/>
    <w:rsid w:val="00B57536"/>
    <w:rsid w:val="00B60F8B"/>
    <w:rsid w:val="00B62606"/>
    <w:rsid w:val="00B62EA1"/>
    <w:rsid w:val="00B63A6C"/>
    <w:rsid w:val="00B63AD0"/>
    <w:rsid w:val="00B63E9C"/>
    <w:rsid w:val="00B646D9"/>
    <w:rsid w:val="00B656D0"/>
    <w:rsid w:val="00B660B9"/>
    <w:rsid w:val="00B6630A"/>
    <w:rsid w:val="00B67E09"/>
    <w:rsid w:val="00B7074D"/>
    <w:rsid w:val="00B707E4"/>
    <w:rsid w:val="00B7083D"/>
    <w:rsid w:val="00B70AB8"/>
    <w:rsid w:val="00B7111B"/>
    <w:rsid w:val="00B724FF"/>
    <w:rsid w:val="00B734CC"/>
    <w:rsid w:val="00B747C9"/>
    <w:rsid w:val="00B747D9"/>
    <w:rsid w:val="00B74966"/>
    <w:rsid w:val="00B755AA"/>
    <w:rsid w:val="00B76C8A"/>
    <w:rsid w:val="00B773DE"/>
    <w:rsid w:val="00B776CE"/>
    <w:rsid w:val="00B778B3"/>
    <w:rsid w:val="00B80F5A"/>
    <w:rsid w:val="00B81A08"/>
    <w:rsid w:val="00B8220E"/>
    <w:rsid w:val="00B82664"/>
    <w:rsid w:val="00B8266D"/>
    <w:rsid w:val="00B82A61"/>
    <w:rsid w:val="00B82C80"/>
    <w:rsid w:val="00B84CBF"/>
    <w:rsid w:val="00B84D09"/>
    <w:rsid w:val="00B8574F"/>
    <w:rsid w:val="00B8755E"/>
    <w:rsid w:val="00B87886"/>
    <w:rsid w:val="00B87EF7"/>
    <w:rsid w:val="00B92A5B"/>
    <w:rsid w:val="00B92A7E"/>
    <w:rsid w:val="00B93926"/>
    <w:rsid w:val="00B94982"/>
    <w:rsid w:val="00B94996"/>
    <w:rsid w:val="00B94DB8"/>
    <w:rsid w:val="00B95C7F"/>
    <w:rsid w:val="00B97E9E"/>
    <w:rsid w:val="00BA0659"/>
    <w:rsid w:val="00BA10FF"/>
    <w:rsid w:val="00BA1642"/>
    <w:rsid w:val="00BA188F"/>
    <w:rsid w:val="00BA256E"/>
    <w:rsid w:val="00BA2699"/>
    <w:rsid w:val="00BA2783"/>
    <w:rsid w:val="00BA413D"/>
    <w:rsid w:val="00BA4303"/>
    <w:rsid w:val="00BA46FE"/>
    <w:rsid w:val="00BA4A9B"/>
    <w:rsid w:val="00BA556C"/>
    <w:rsid w:val="00BA59AA"/>
    <w:rsid w:val="00BA64C8"/>
    <w:rsid w:val="00BA78CA"/>
    <w:rsid w:val="00BB0AFC"/>
    <w:rsid w:val="00BB0B14"/>
    <w:rsid w:val="00BB17DA"/>
    <w:rsid w:val="00BB1EC1"/>
    <w:rsid w:val="00BB3365"/>
    <w:rsid w:val="00BB3F2F"/>
    <w:rsid w:val="00BB434F"/>
    <w:rsid w:val="00BB4726"/>
    <w:rsid w:val="00BB6994"/>
    <w:rsid w:val="00BB735B"/>
    <w:rsid w:val="00BC028E"/>
    <w:rsid w:val="00BC33EC"/>
    <w:rsid w:val="00BC3D66"/>
    <w:rsid w:val="00BC3FD5"/>
    <w:rsid w:val="00BC5757"/>
    <w:rsid w:val="00BC6D23"/>
    <w:rsid w:val="00BC7E40"/>
    <w:rsid w:val="00BD0130"/>
    <w:rsid w:val="00BD2316"/>
    <w:rsid w:val="00BD335C"/>
    <w:rsid w:val="00BD385D"/>
    <w:rsid w:val="00BD4480"/>
    <w:rsid w:val="00BD54EF"/>
    <w:rsid w:val="00BD558C"/>
    <w:rsid w:val="00BD569B"/>
    <w:rsid w:val="00BD6081"/>
    <w:rsid w:val="00BD66D2"/>
    <w:rsid w:val="00BD72D9"/>
    <w:rsid w:val="00BD72EF"/>
    <w:rsid w:val="00BE0446"/>
    <w:rsid w:val="00BE0D68"/>
    <w:rsid w:val="00BE2188"/>
    <w:rsid w:val="00BE2EA9"/>
    <w:rsid w:val="00BE4154"/>
    <w:rsid w:val="00BE514E"/>
    <w:rsid w:val="00BE5E1F"/>
    <w:rsid w:val="00BE7FFB"/>
    <w:rsid w:val="00BF0552"/>
    <w:rsid w:val="00BF082E"/>
    <w:rsid w:val="00BF156B"/>
    <w:rsid w:val="00BF2E13"/>
    <w:rsid w:val="00BF4B55"/>
    <w:rsid w:val="00BF632A"/>
    <w:rsid w:val="00BF66C7"/>
    <w:rsid w:val="00BF6788"/>
    <w:rsid w:val="00BF6A6E"/>
    <w:rsid w:val="00BF79D7"/>
    <w:rsid w:val="00C00338"/>
    <w:rsid w:val="00C0060E"/>
    <w:rsid w:val="00C00CC5"/>
    <w:rsid w:val="00C011EF"/>
    <w:rsid w:val="00C01B18"/>
    <w:rsid w:val="00C01ED2"/>
    <w:rsid w:val="00C025EF"/>
    <w:rsid w:val="00C03800"/>
    <w:rsid w:val="00C052CC"/>
    <w:rsid w:val="00C062D0"/>
    <w:rsid w:val="00C066CD"/>
    <w:rsid w:val="00C0691C"/>
    <w:rsid w:val="00C0691E"/>
    <w:rsid w:val="00C06A5F"/>
    <w:rsid w:val="00C07BFE"/>
    <w:rsid w:val="00C10E67"/>
    <w:rsid w:val="00C11C81"/>
    <w:rsid w:val="00C11E38"/>
    <w:rsid w:val="00C147F8"/>
    <w:rsid w:val="00C15EED"/>
    <w:rsid w:val="00C1632A"/>
    <w:rsid w:val="00C17086"/>
    <w:rsid w:val="00C20257"/>
    <w:rsid w:val="00C221DD"/>
    <w:rsid w:val="00C22441"/>
    <w:rsid w:val="00C2273D"/>
    <w:rsid w:val="00C24670"/>
    <w:rsid w:val="00C249BF"/>
    <w:rsid w:val="00C277C9"/>
    <w:rsid w:val="00C3012D"/>
    <w:rsid w:val="00C302C5"/>
    <w:rsid w:val="00C306EC"/>
    <w:rsid w:val="00C30A84"/>
    <w:rsid w:val="00C32248"/>
    <w:rsid w:val="00C329B6"/>
    <w:rsid w:val="00C357DF"/>
    <w:rsid w:val="00C35877"/>
    <w:rsid w:val="00C36AB5"/>
    <w:rsid w:val="00C36C7B"/>
    <w:rsid w:val="00C37543"/>
    <w:rsid w:val="00C37906"/>
    <w:rsid w:val="00C37F17"/>
    <w:rsid w:val="00C403D4"/>
    <w:rsid w:val="00C4056A"/>
    <w:rsid w:val="00C40B73"/>
    <w:rsid w:val="00C40C57"/>
    <w:rsid w:val="00C4139C"/>
    <w:rsid w:val="00C41E45"/>
    <w:rsid w:val="00C43516"/>
    <w:rsid w:val="00C45A93"/>
    <w:rsid w:val="00C45D08"/>
    <w:rsid w:val="00C465C7"/>
    <w:rsid w:val="00C4681E"/>
    <w:rsid w:val="00C46BA2"/>
    <w:rsid w:val="00C46EF0"/>
    <w:rsid w:val="00C47897"/>
    <w:rsid w:val="00C50144"/>
    <w:rsid w:val="00C504FC"/>
    <w:rsid w:val="00C523D6"/>
    <w:rsid w:val="00C53757"/>
    <w:rsid w:val="00C54264"/>
    <w:rsid w:val="00C55246"/>
    <w:rsid w:val="00C55252"/>
    <w:rsid w:val="00C55876"/>
    <w:rsid w:val="00C561CB"/>
    <w:rsid w:val="00C567C1"/>
    <w:rsid w:val="00C569D9"/>
    <w:rsid w:val="00C57EFE"/>
    <w:rsid w:val="00C6146D"/>
    <w:rsid w:val="00C61757"/>
    <w:rsid w:val="00C61C0B"/>
    <w:rsid w:val="00C626EB"/>
    <w:rsid w:val="00C63B88"/>
    <w:rsid w:val="00C63FF4"/>
    <w:rsid w:val="00C65B7C"/>
    <w:rsid w:val="00C66F8B"/>
    <w:rsid w:val="00C6705A"/>
    <w:rsid w:val="00C67B9F"/>
    <w:rsid w:val="00C7073D"/>
    <w:rsid w:val="00C70DA3"/>
    <w:rsid w:val="00C71D54"/>
    <w:rsid w:val="00C72DB0"/>
    <w:rsid w:val="00C73357"/>
    <w:rsid w:val="00C739C3"/>
    <w:rsid w:val="00C7429E"/>
    <w:rsid w:val="00C77EF5"/>
    <w:rsid w:val="00C811CD"/>
    <w:rsid w:val="00C811D8"/>
    <w:rsid w:val="00C8195B"/>
    <w:rsid w:val="00C81973"/>
    <w:rsid w:val="00C81E66"/>
    <w:rsid w:val="00C821FF"/>
    <w:rsid w:val="00C822E8"/>
    <w:rsid w:val="00C82D5F"/>
    <w:rsid w:val="00C83A9C"/>
    <w:rsid w:val="00C84155"/>
    <w:rsid w:val="00C85DF5"/>
    <w:rsid w:val="00C87B32"/>
    <w:rsid w:val="00C87C32"/>
    <w:rsid w:val="00C9153F"/>
    <w:rsid w:val="00C92473"/>
    <w:rsid w:val="00C93598"/>
    <w:rsid w:val="00C93AE4"/>
    <w:rsid w:val="00C95878"/>
    <w:rsid w:val="00C95D56"/>
    <w:rsid w:val="00C96AF9"/>
    <w:rsid w:val="00C97937"/>
    <w:rsid w:val="00C97DBC"/>
    <w:rsid w:val="00CA0F6D"/>
    <w:rsid w:val="00CA11BD"/>
    <w:rsid w:val="00CA13F7"/>
    <w:rsid w:val="00CA18B9"/>
    <w:rsid w:val="00CA1D4C"/>
    <w:rsid w:val="00CA1E70"/>
    <w:rsid w:val="00CA2B01"/>
    <w:rsid w:val="00CA6916"/>
    <w:rsid w:val="00CB0602"/>
    <w:rsid w:val="00CB07E1"/>
    <w:rsid w:val="00CB0B42"/>
    <w:rsid w:val="00CB108E"/>
    <w:rsid w:val="00CB14BF"/>
    <w:rsid w:val="00CB1DC2"/>
    <w:rsid w:val="00CB2904"/>
    <w:rsid w:val="00CB4022"/>
    <w:rsid w:val="00CB5C8E"/>
    <w:rsid w:val="00CB70F9"/>
    <w:rsid w:val="00CC0B73"/>
    <w:rsid w:val="00CC1458"/>
    <w:rsid w:val="00CC2D9B"/>
    <w:rsid w:val="00CC4731"/>
    <w:rsid w:val="00CC5055"/>
    <w:rsid w:val="00CC5B32"/>
    <w:rsid w:val="00CC5C28"/>
    <w:rsid w:val="00CC620E"/>
    <w:rsid w:val="00CC6D75"/>
    <w:rsid w:val="00CC72BC"/>
    <w:rsid w:val="00CC7527"/>
    <w:rsid w:val="00CD071D"/>
    <w:rsid w:val="00CD1360"/>
    <w:rsid w:val="00CD15AB"/>
    <w:rsid w:val="00CD1B0B"/>
    <w:rsid w:val="00CD2002"/>
    <w:rsid w:val="00CD2B57"/>
    <w:rsid w:val="00CD39F9"/>
    <w:rsid w:val="00CD490E"/>
    <w:rsid w:val="00CD5072"/>
    <w:rsid w:val="00CD5B97"/>
    <w:rsid w:val="00CD5E99"/>
    <w:rsid w:val="00CD5FDB"/>
    <w:rsid w:val="00CD6D5E"/>
    <w:rsid w:val="00CD7B0B"/>
    <w:rsid w:val="00CE00EC"/>
    <w:rsid w:val="00CE0CF4"/>
    <w:rsid w:val="00CE2F35"/>
    <w:rsid w:val="00CE3495"/>
    <w:rsid w:val="00CE49CB"/>
    <w:rsid w:val="00CE5167"/>
    <w:rsid w:val="00CE5647"/>
    <w:rsid w:val="00CE5E41"/>
    <w:rsid w:val="00CE5EEE"/>
    <w:rsid w:val="00CE6815"/>
    <w:rsid w:val="00CE76C4"/>
    <w:rsid w:val="00CF0315"/>
    <w:rsid w:val="00CF0546"/>
    <w:rsid w:val="00CF1326"/>
    <w:rsid w:val="00CF1C04"/>
    <w:rsid w:val="00CF24E7"/>
    <w:rsid w:val="00CF2FD3"/>
    <w:rsid w:val="00CF4828"/>
    <w:rsid w:val="00CF523E"/>
    <w:rsid w:val="00CF54E3"/>
    <w:rsid w:val="00CF75E8"/>
    <w:rsid w:val="00CF79C6"/>
    <w:rsid w:val="00CF7A9F"/>
    <w:rsid w:val="00CF7AFB"/>
    <w:rsid w:val="00D00F8A"/>
    <w:rsid w:val="00D04DA9"/>
    <w:rsid w:val="00D07DF2"/>
    <w:rsid w:val="00D10D6A"/>
    <w:rsid w:val="00D12EC5"/>
    <w:rsid w:val="00D13206"/>
    <w:rsid w:val="00D13B53"/>
    <w:rsid w:val="00D14834"/>
    <w:rsid w:val="00D14943"/>
    <w:rsid w:val="00D150EE"/>
    <w:rsid w:val="00D15638"/>
    <w:rsid w:val="00D15888"/>
    <w:rsid w:val="00D16860"/>
    <w:rsid w:val="00D20EC9"/>
    <w:rsid w:val="00D2103A"/>
    <w:rsid w:val="00D2167B"/>
    <w:rsid w:val="00D22302"/>
    <w:rsid w:val="00D24FBD"/>
    <w:rsid w:val="00D27A4E"/>
    <w:rsid w:val="00D27D14"/>
    <w:rsid w:val="00D30D61"/>
    <w:rsid w:val="00D31016"/>
    <w:rsid w:val="00D32BDA"/>
    <w:rsid w:val="00D33763"/>
    <w:rsid w:val="00D36409"/>
    <w:rsid w:val="00D404BC"/>
    <w:rsid w:val="00D44B22"/>
    <w:rsid w:val="00D45FF0"/>
    <w:rsid w:val="00D46A45"/>
    <w:rsid w:val="00D477C8"/>
    <w:rsid w:val="00D50A62"/>
    <w:rsid w:val="00D50EEF"/>
    <w:rsid w:val="00D54513"/>
    <w:rsid w:val="00D5567A"/>
    <w:rsid w:val="00D56022"/>
    <w:rsid w:val="00D56090"/>
    <w:rsid w:val="00D575BD"/>
    <w:rsid w:val="00D60313"/>
    <w:rsid w:val="00D61220"/>
    <w:rsid w:val="00D62C46"/>
    <w:rsid w:val="00D641AD"/>
    <w:rsid w:val="00D641FF"/>
    <w:rsid w:val="00D64E89"/>
    <w:rsid w:val="00D65777"/>
    <w:rsid w:val="00D66561"/>
    <w:rsid w:val="00D66859"/>
    <w:rsid w:val="00D66E7E"/>
    <w:rsid w:val="00D670A5"/>
    <w:rsid w:val="00D703DE"/>
    <w:rsid w:val="00D713AA"/>
    <w:rsid w:val="00D71973"/>
    <w:rsid w:val="00D7210C"/>
    <w:rsid w:val="00D725B1"/>
    <w:rsid w:val="00D72BE1"/>
    <w:rsid w:val="00D73D0A"/>
    <w:rsid w:val="00D75EBC"/>
    <w:rsid w:val="00D766A2"/>
    <w:rsid w:val="00D77BBA"/>
    <w:rsid w:val="00D77EE1"/>
    <w:rsid w:val="00D8013D"/>
    <w:rsid w:val="00D80B8D"/>
    <w:rsid w:val="00D829A3"/>
    <w:rsid w:val="00D833CC"/>
    <w:rsid w:val="00D84320"/>
    <w:rsid w:val="00D85128"/>
    <w:rsid w:val="00D85E08"/>
    <w:rsid w:val="00D85EF6"/>
    <w:rsid w:val="00D863DF"/>
    <w:rsid w:val="00D86430"/>
    <w:rsid w:val="00D86E05"/>
    <w:rsid w:val="00D90E6F"/>
    <w:rsid w:val="00D91401"/>
    <w:rsid w:val="00D91BB2"/>
    <w:rsid w:val="00D929CE"/>
    <w:rsid w:val="00D92F03"/>
    <w:rsid w:val="00D934F5"/>
    <w:rsid w:val="00D93D69"/>
    <w:rsid w:val="00D94928"/>
    <w:rsid w:val="00D95BA1"/>
    <w:rsid w:val="00D95D37"/>
    <w:rsid w:val="00D95D42"/>
    <w:rsid w:val="00D9658D"/>
    <w:rsid w:val="00DA0771"/>
    <w:rsid w:val="00DA0E36"/>
    <w:rsid w:val="00DA0FD1"/>
    <w:rsid w:val="00DA15A7"/>
    <w:rsid w:val="00DA2118"/>
    <w:rsid w:val="00DA3153"/>
    <w:rsid w:val="00DA3CB5"/>
    <w:rsid w:val="00DA3D3B"/>
    <w:rsid w:val="00DA40E5"/>
    <w:rsid w:val="00DA54FA"/>
    <w:rsid w:val="00DA5A0A"/>
    <w:rsid w:val="00DA665F"/>
    <w:rsid w:val="00DA7A36"/>
    <w:rsid w:val="00DB11AA"/>
    <w:rsid w:val="00DB1DFF"/>
    <w:rsid w:val="00DB2A21"/>
    <w:rsid w:val="00DB30BC"/>
    <w:rsid w:val="00DB435A"/>
    <w:rsid w:val="00DB4BB1"/>
    <w:rsid w:val="00DB54C4"/>
    <w:rsid w:val="00DB7658"/>
    <w:rsid w:val="00DC0BE0"/>
    <w:rsid w:val="00DC0E41"/>
    <w:rsid w:val="00DC1D71"/>
    <w:rsid w:val="00DC29FE"/>
    <w:rsid w:val="00DC4748"/>
    <w:rsid w:val="00DC47F8"/>
    <w:rsid w:val="00DC4801"/>
    <w:rsid w:val="00DC483C"/>
    <w:rsid w:val="00DC5FCF"/>
    <w:rsid w:val="00DC7263"/>
    <w:rsid w:val="00DC7630"/>
    <w:rsid w:val="00DD1676"/>
    <w:rsid w:val="00DD1DAB"/>
    <w:rsid w:val="00DD22A5"/>
    <w:rsid w:val="00DD2B85"/>
    <w:rsid w:val="00DD3DE2"/>
    <w:rsid w:val="00DD4F1B"/>
    <w:rsid w:val="00DD5797"/>
    <w:rsid w:val="00DD5C37"/>
    <w:rsid w:val="00DD5DB1"/>
    <w:rsid w:val="00DD660E"/>
    <w:rsid w:val="00DD7209"/>
    <w:rsid w:val="00DE1198"/>
    <w:rsid w:val="00DE29B1"/>
    <w:rsid w:val="00DE358B"/>
    <w:rsid w:val="00DE46FD"/>
    <w:rsid w:val="00DE7A90"/>
    <w:rsid w:val="00DE7AEA"/>
    <w:rsid w:val="00DF086E"/>
    <w:rsid w:val="00DF09C2"/>
    <w:rsid w:val="00DF0A4F"/>
    <w:rsid w:val="00DF1B5D"/>
    <w:rsid w:val="00DF24B9"/>
    <w:rsid w:val="00DF2F99"/>
    <w:rsid w:val="00DF3321"/>
    <w:rsid w:val="00DF36F9"/>
    <w:rsid w:val="00DF4477"/>
    <w:rsid w:val="00DF7579"/>
    <w:rsid w:val="00DF7704"/>
    <w:rsid w:val="00DF78FE"/>
    <w:rsid w:val="00DF7E9F"/>
    <w:rsid w:val="00E00DD8"/>
    <w:rsid w:val="00E00E69"/>
    <w:rsid w:val="00E01A95"/>
    <w:rsid w:val="00E02A35"/>
    <w:rsid w:val="00E02C5D"/>
    <w:rsid w:val="00E02CBC"/>
    <w:rsid w:val="00E02D24"/>
    <w:rsid w:val="00E0430C"/>
    <w:rsid w:val="00E04472"/>
    <w:rsid w:val="00E04E2E"/>
    <w:rsid w:val="00E04F3D"/>
    <w:rsid w:val="00E05113"/>
    <w:rsid w:val="00E05254"/>
    <w:rsid w:val="00E05867"/>
    <w:rsid w:val="00E05D0C"/>
    <w:rsid w:val="00E06490"/>
    <w:rsid w:val="00E0674A"/>
    <w:rsid w:val="00E1049C"/>
    <w:rsid w:val="00E112F5"/>
    <w:rsid w:val="00E1287A"/>
    <w:rsid w:val="00E12A5F"/>
    <w:rsid w:val="00E12AD5"/>
    <w:rsid w:val="00E148E6"/>
    <w:rsid w:val="00E14BD2"/>
    <w:rsid w:val="00E1520D"/>
    <w:rsid w:val="00E16C87"/>
    <w:rsid w:val="00E17111"/>
    <w:rsid w:val="00E17359"/>
    <w:rsid w:val="00E17B29"/>
    <w:rsid w:val="00E206F9"/>
    <w:rsid w:val="00E20A17"/>
    <w:rsid w:val="00E20CEA"/>
    <w:rsid w:val="00E21FCD"/>
    <w:rsid w:val="00E22C81"/>
    <w:rsid w:val="00E2314B"/>
    <w:rsid w:val="00E2320E"/>
    <w:rsid w:val="00E23470"/>
    <w:rsid w:val="00E24526"/>
    <w:rsid w:val="00E2507D"/>
    <w:rsid w:val="00E25773"/>
    <w:rsid w:val="00E25CB7"/>
    <w:rsid w:val="00E25D1B"/>
    <w:rsid w:val="00E269B7"/>
    <w:rsid w:val="00E27DCF"/>
    <w:rsid w:val="00E300B9"/>
    <w:rsid w:val="00E33BDC"/>
    <w:rsid w:val="00E36A1A"/>
    <w:rsid w:val="00E372AE"/>
    <w:rsid w:val="00E378F8"/>
    <w:rsid w:val="00E4094C"/>
    <w:rsid w:val="00E40D55"/>
    <w:rsid w:val="00E40EE4"/>
    <w:rsid w:val="00E40F5A"/>
    <w:rsid w:val="00E42637"/>
    <w:rsid w:val="00E43544"/>
    <w:rsid w:val="00E45034"/>
    <w:rsid w:val="00E47689"/>
    <w:rsid w:val="00E50E64"/>
    <w:rsid w:val="00E52741"/>
    <w:rsid w:val="00E546B2"/>
    <w:rsid w:val="00E54D89"/>
    <w:rsid w:val="00E55687"/>
    <w:rsid w:val="00E567D0"/>
    <w:rsid w:val="00E619FB"/>
    <w:rsid w:val="00E622BD"/>
    <w:rsid w:val="00E6248C"/>
    <w:rsid w:val="00E629CF"/>
    <w:rsid w:val="00E62C7F"/>
    <w:rsid w:val="00E657D0"/>
    <w:rsid w:val="00E701E8"/>
    <w:rsid w:val="00E727AB"/>
    <w:rsid w:val="00E7281B"/>
    <w:rsid w:val="00E72D09"/>
    <w:rsid w:val="00E73466"/>
    <w:rsid w:val="00E738BD"/>
    <w:rsid w:val="00E73CC2"/>
    <w:rsid w:val="00E754C1"/>
    <w:rsid w:val="00E75CC3"/>
    <w:rsid w:val="00E76026"/>
    <w:rsid w:val="00E80002"/>
    <w:rsid w:val="00E81D6B"/>
    <w:rsid w:val="00E8238F"/>
    <w:rsid w:val="00E83119"/>
    <w:rsid w:val="00E83419"/>
    <w:rsid w:val="00E8377A"/>
    <w:rsid w:val="00E84A64"/>
    <w:rsid w:val="00E85147"/>
    <w:rsid w:val="00E90AFF"/>
    <w:rsid w:val="00E9292C"/>
    <w:rsid w:val="00E92A30"/>
    <w:rsid w:val="00E92AA3"/>
    <w:rsid w:val="00E9320F"/>
    <w:rsid w:val="00E93C3D"/>
    <w:rsid w:val="00E95C18"/>
    <w:rsid w:val="00E95DA0"/>
    <w:rsid w:val="00E97255"/>
    <w:rsid w:val="00E97B57"/>
    <w:rsid w:val="00EA0981"/>
    <w:rsid w:val="00EA1210"/>
    <w:rsid w:val="00EA16A5"/>
    <w:rsid w:val="00EA1A4F"/>
    <w:rsid w:val="00EA22C0"/>
    <w:rsid w:val="00EA350B"/>
    <w:rsid w:val="00EA37E9"/>
    <w:rsid w:val="00EA3F3B"/>
    <w:rsid w:val="00EA40EE"/>
    <w:rsid w:val="00EA5740"/>
    <w:rsid w:val="00EA5C92"/>
    <w:rsid w:val="00EA6A36"/>
    <w:rsid w:val="00EA6D9B"/>
    <w:rsid w:val="00EB0733"/>
    <w:rsid w:val="00EB0FEE"/>
    <w:rsid w:val="00EB28DF"/>
    <w:rsid w:val="00EB2F3A"/>
    <w:rsid w:val="00EB3876"/>
    <w:rsid w:val="00EB45C4"/>
    <w:rsid w:val="00EB4C04"/>
    <w:rsid w:val="00EB4D6D"/>
    <w:rsid w:val="00EB50BD"/>
    <w:rsid w:val="00EB560D"/>
    <w:rsid w:val="00EB5ED9"/>
    <w:rsid w:val="00EB6206"/>
    <w:rsid w:val="00EB694C"/>
    <w:rsid w:val="00EB6A23"/>
    <w:rsid w:val="00EB7280"/>
    <w:rsid w:val="00EB7886"/>
    <w:rsid w:val="00EC0140"/>
    <w:rsid w:val="00EC0E13"/>
    <w:rsid w:val="00EC30A0"/>
    <w:rsid w:val="00EC3899"/>
    <w:rsid w:val="00EC4400"/>
    <w:rsid w:val="00EC51D3"/>
    <w:rsid w:val="00ED0F14"/>
    <w:rsid w:val="00ED384A"/>
    <w:rsid w:val="00ED3B43"/>
    <w:rsid w:val="00ED4039"/>
    <w:rsid w:val="00ED47E7"/>
    <w:rsid w:val="00ED4BA4"/>
    <w:rsid w:val="00ED7853"/>
    <w:rsid w:val="00EE0FC0"/>
    <w:rsid w:val="00EE1A4A"/>
    <w:rsid w:val="00EE1B56"/>
    <w:rsid w:val="00EE2069"/>
    <w:rsid w:val="00EE2C93"/>
    <w:rsid w:val="00EE3D50"/>
    <w:rsid w:val="00EE41C1"/>
    <w:rsid w:val="00EE4613"/>
    <w:rsid w:val="00EE5E59"/>
    <w:rsid w:val="00EF05F1"/>
    <w:rsid w:val="00EF5168"/>
    <w:rsid w:val="00EF5DBF"/>
    <w:rsid w:val="00EF6FC3"/>
    <w:rsid w:val="00EF79DC"/>
    <w:rsid w:val="00EF7C5D"/>
    <w:rsid w:val="00F000BB"/>
    <w:rsid w:val="00F01F67"/>
    <w:rsid w:val="00F0344B"/>
    <w:rsid w:val="00F042AA"/>
    <w:rsid w:val="00F04CEA"/>
    <w:rsid w:val="00F066F6"/>
    <w:rsid w:val="00F06A20"/>
    <w:rsid w:val="00F074EC"/>
    <w:rsid w:val="00F0797A"/>
    <w:rsid w:val="00F10FDA"/>
    <w:rsid w:val="00F11DDC"/>
    <w:rsid w:val="00F14E30"/>
    <w:rsid w:val="00F15709"/>
    <w:rsid w:val="00F168BC"/>
    <w:rsid w:val="00F17473"/>
    <w:rsid w:val="00F17EDA"/>
    <w:rsid w:val="00F2080A"/>
    <w:rsid w:val="00F20A88"/>
    <w:rsid w:val="00F21CB1"/>
    <w:rsid w:val="00F22A5E"/>
    <w:rsid w:val="00F22BC2"/>
    <w:rsid w:val="00F23125"/>
    <w:rsid w:val="00F23A14"/>
    <w:rsid w:val="00F2409A"/>
    <w:rsid w:val="00F25DCA"/>
    <w:rsid w:val="00F273A1"/>
    <w:rsid w:val="00F301C4"/>
    <w:rsid w:val="00F31C4C"/>
    <w:rsid w:val="00F324F6"/>
    <w:rsid w:val="00F35188"/>
    <w:rsid w:val="00F366B9"/>
    <w:rsid w:val="00F3719C"/>
    <w:rsid w:val="00F40712"/>
    <w:rsid w:val="00F42111"/>
    <w:rsid w:val="00F42172"/>
    <w:rsid w:val="00F448AA"/>
    <w:rsid w:val="00F457B0"/>
    <w:rsid w:val="00F457E3"/>
    <w:rsid w:val="00F45A7F"/>
    <w:rsid w:val="00F45D7E"/>
    <w:rsid w:val="00F463BE"/>
    <w:rsid w:val="00F47F9D"/>
    <w:rsid w:val="00F5070F"/>
    <w:rsid w:val="00F50D33"/>
    <w:rsid w:val="00F51194"/>
    <w:rsid w:val="00F51E0A"/>
    <w:rsid w:val="00F51F06"/>
    <w:rsid w:val="00F52651"/>
    <w:rsid w:val="00F529C8"/>
    <w:rsid w:val="00F531DC"/>
    <w:rsid w:val="00F53CA6"/>
    <w:rsid w:val="00F54262"/>
    <w:rsid w:val="00F54C93"/>
    <w:rsid w:val="00F55FA1"/>
    <w:rsid w:val="00F5741C"/>
    <w:rsid w:val="00F601C3"/>
    <w:rsid w:val="00F605B3"/>
    <w:rsid w:val="00F60D57"/>
    <w:rsid w:val="00F61971"/>
    <w:rsid w:val="00F620C1"/>
    <w:rsid w:val="00F626AE"/>
    <w:rsid w:val="00F62A69"/>
    <w:rsid w:val="00F63775"/>
    <w:rsid w:val="00F63EE9"/>
    <w:rsid w:val="00F6443E"/>
    <w:rsid w:val="00F649BF"/>
    <w:rsid w:val="00F64B2A"/>
    <w:rsid w:val="00F65CB4"/>
    <w:rsid w:val="00F66616"/>
    <w:rsid w:val="00F7140D"/>
    <w:rsid w:val="00F718DB"/>
    <w:rsid w:val="00F71BCC"/>
    <w:rsid w:val="00F7275E"/>
    <w:rsid w:val="00F730A8"/>
    <w:rsid w:val="00F745CC"/>
    <w:rsid w:val="00F77C48"/>
    <w:rsid w:val="00F80E30"/>
    <w:rsid w:val="00F80F83"/>
    <w:rsid w:val="00F81B48"/>
    <w:rsid w:val="00F81BEF"/>
    <w:rsid w:val="00F81CD5"/>
    <w:rsid w:val="00F823C4"/>
    <w:rsid w:val="00F837A1"/>
    <w:rsid w:val="00F83D0E"/>
    <w:rsid w:val="00F84459"/>
    <w:rsid w:val="00F84C39"/>
    <w:rsid w:val="00F84CE9"/>
    <w:rsid w:val="00F85DFF"/>
    <w:rsid w:val="00F86270"/>
    <w:rsid w:val="00F869D3"/>
    <w:rsid w:val="00F86A04"/>
    <w:rsid w:val="00F87833"/>
    <w:rsid w:val="00F87F56"/>
    <w:rsid w:val="00F87FF4"/>
    <w:rsid w:val="00F9014A"/>
    <w:rsid w:val="00F90FA3"/>
    <w:rsid w:val="00F91C6A"/>
    <w:rsid w:val="00F92B7F"/>
    <w:rsid w:val="00F94452"/>
    <w:rsid w:val="00F9529C"/>
    <w:rsid w:val="00F952A0"/>
    <w:rsid w:val="00F96B97"/>
    <w:rsid w:val="00FA1486"/>
    <w:rsid w:val="00FA14E3"/>
    <w:rsid w:val="00FA1E47"/>
    <w:rsid w:val="00FA25A6"/>
    <w:rsid w:val="00FA278E"/>
    <w:rsid w:val="00FA40C9"/>
    <w:rsid w:val="00FA453E"/>
    <w:rsid w:val="00FA5999"/>
    <w:rsid w:val="00FA5D18"/>
    <w:rsid w:val="00FA641B"/>
    <w:rsid w:val="00FA6C0D"/>
    <w:rsid w:val="00FA6EFB"/>
    <w:rsid w:val="00FA7C21"/>
    <w:rsid w:val="00FB0257"/>
    <w:rsid w:val="00FB0CA6"/>
    <w:rsid w:val="00FB1469"/>
    <w:rsid w:val="00FB183A"/>
    <w:rsid w:val="00FB2003"/>
    <w:rsid w:val="00FB3309"/>
    <w:rsid w:val="00FB48FD"/>
    <w:rsid w:val="00FB4C0A"/>
    <w:rsid w:val="00FB5589"/>
    <w:rsid w:val="00FB6BC8"/>
    <w:rsid w:val="00FB7267"/>
    <w:rsid w:val="00FB746B"/>
    <w:rsid w:val="00FC01D2"/>
    <w:rsid w:val="00FC1450"/>
    <w:rsid w:val="00FC23B4"/>
    <w:rsid w:val="00FC340E"/>
    <w:rsid w:val="00FC39D8"/>
    <w:rsid w:val="00FC3DA6"/>
    <w:rsid w:val="00FC3DB4"/>
    <w:rsid w:val="00FC486D"/>
    <w:rsid w:val="00FC4F8B"/>
    <w:rsid w:val="00FC510C"/>
    <w:rsid w:val="00FC5685"/>
    <w:rsid w:val="00FC5A64"/>
    <w:rsid w:val="00FC5E1D"/>
    <w:rsid w:val="00FC6081"/>
    <w:rsid w:val="00FC63B5"/>
    <w:rsid w:val="00FC7662"/>
    <w:rsid w:val="00FC7B32"/>
    <w:rsid w:val="00FC7F4C"/>
    <w:rsid w:val="00FD4582"/>
    <w:rsid w:val="00FD6F6E"/>
    <w:rsid w:val="00FD7D84"/>
    <w:rsid w:val="00FD7DD1"/>
    <w:rsid w:val="00FE0C0B"/>
    <w:rsid w:val="00FE1183"/>
    <w:rsid w:val="00FE1B56"/>
    <w:rsid w:val="00FE2367"/>
    <w:rsid w:val="00FE2D8B"/>
    <w:rsid w:val="00FE386E"/>
    <w:rsid w:val="00FE4BF7"/>
    <w:rsid w:val="00FE4F97"/>
    <w:rsid w:val="00FE4FF8"/>
    <w:rsid w:val="00FE66CA"/>
    <w:rsid w:val="00FE79B5"/>
    <w:rsid w:val="00FF028E"/>
    <w:rsid w:val="00FF1A89"/>
    <w:rsid w:val="00FF31C9"/>
    <w:rsid w:val="00FF6C34"/>
    <w:rsid w:val="00FF6F3B"/>
    <w:rsid w:val="00FF776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00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WA Normal"/>
    <w:qFormat/>
    <w:rsid w:val="00C61C0B"/>
    <w:pPr>
      <w:spacing w:before="200" w:after="0" w:line="240" w:lineRule="auto"/>
      <w:jc w:val="both"/>
    </w:pPr>
    <w:rPr>
      <w:rFonts w:ascii="Arial" w:eastAsia="Times New Roman" w:hAnsi="Arial" w:cs="Times New Roman"/>
      <w:sz w:val="20"/>
      <w:szCs w:val="24"/>
      <w:lang w:eastAsia="en-AU"/>
    </w:rPr>
  </w:style>
  <w:style w:type="paragraph" w:styleId="Heading1">
    <w:name w:val="heading 1"/>
    <w:aliases w:val="SWA Heading 1"/>
    <w:basedOn w:val="Normal"/>
    <w:next w:val="Normal"/>
    <w:link w:val="Heading1Char"/>
    <w:uiPriority w:val="99"/>
    <w:qFormat/>
    <w:rsid w:val="005D0128"/>
    <w:pPr>
      <w:keepNext/>
      <w:spacing w:after="240"/>
      <w:outlineLvl w:val="0"/>
    </w:pPr>
    <w:rPr>
      <w:rFonts w:ascii="Arial Bold" w:eastAsiaTheme="majorEastAsia" w:hAnsi="Arial Bold" w:cs="Arial"/>
      <w:b/>
      <w:kern w:val="32"/>
      <w:sz w:val="28"/>
      <w:szCs w:val="22"/>
    </w:rPr>
  </w:style>
  <w:style w:type="paragraph" w:styleId="Heading2">
    <w:name w:val="heading 2"/>
    <w:aliases w:val="SWA Heading 2"/>
    <w:basedOn w:val="Normal"/>
    <w:next w:val="Normal"/>
    <w:link w:val="Heading2Char"/>
    <w:uiPriority w:val="9"/>
    <w:qFormat/>
    <w:rsid w:val="00B747D9"/>
    <w:pPr>
      <w:outlineLvl w:val="1"/>
    </w:pPr>
    <w:rPr>
      <w:rFonts w:ascii="Arial Bold" w:eastAsiaTheme="majorEastAsia" w:hAnsi="Arial Bold" w:cstheme="majorBidi"/>
      <w:b/>
      <w:sz w:val="24"/>
      <w:szCs w:val="28"/>
    </w:rPr>
  </w:style>
  <w:style w:type="paragraph" w:styleId="Heading3">
    <w:name w:val="heading 3"/>
    <w:aliases w:val="SWA Heading 3"/>
    <w:basedOn w:val="Normal"/>
    <w:next w:val="Normal"/>
    <w:link w:val="Heading3Char"/>
    <w:uiPriority w:val="9"/>
    <w:qFormat/>
    <w:rsid w:val="00B747D9"/>
    <w:pPr>
      <w:keepNext/>
      <w:overflowPunct w:val="0"/>
      <w:autoSpaceDE w:val="0"/>
      <w:autoSpaceDN w:val="0"/>
      <w:adjustRightInd w:val="0"/>
      <w:spacing w:before="340" w:after="140"/>
      <w:textAlignment w:val="baseline"/>
      <w:outlineLvl w:val="2"/>
    </w:pPr>
    <w:rPr>
      <w:rFonts w:ascii="Arial Bold" w:eastAsiaTheme="majorEastAsia" w:hAnsi="Arial Bold" w:cstheme="majorBidi"/>
      <w:b/>
      <w:color w:val="C00000"/>
      <w:szCs w:val="20"/>
      <w:lang w:eastAsia="en-US"/>
    </w:rPr>
  </w:style>
  <w:style w:type="paragraph" w:styleId="Heading4">
    <w:name w:val="heading 4"/>
    <w:aliases w:val="SWA Heading 4"/>
    <w:basedOn w:val="Normal"/>
    <w:next w:val="Normal"/>
    <w:link w:val="Heading4Char"/>
    <w:uiPriority w:val="99"/>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paragraph" w:styleId="Heading5">
    <w:name w:val="heading 5"/>
    <w:basedOn w:val="Normal"/>
    <w:next w:val="Normal"/>
    <w:link w:val="Heading5Char"/>
    <w:uiPriority w:val="9"/>
    <w:semiHidden/>
    <w:unhideWhenUsed/>
    <w:qFormat/>
    <w:rsid w:val="00A8653F"/>
    <w:pPr>
      <w:keepNext/>
      <w:keepLines/>
      <w:spacing w:line="276" w:lineRule="auto"/>
      <w:jc w:val="left"/>
      <w:outlineLvl w:val="4"/>
    </w:pPr>
    <w:rPr>
      <w:rFonts w:asciiTheme="majorHAnsi" w:eastAsiaTheme="majorEastAsia" w:hAnsiTheme="majorHAnsi" w:cstheme="majorBidi"/>
      <w:color w:val="5E563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WA Heading 1 Char"/>
    <w:basedOn w:val="DefaultParagraphFont"/>
    <w:link w:val="Heading1"/>
    <w:uiPriority w:val="99"/>
    <w:rsid w:val="005D0128"/>
    <w:rPr>
      <w:rFonts w:ascii="Arial Bold" w:eastAsiaTheme="majorEastAsia" w:hAnsi="Arial Bold" w:cs="Arial"/>
      <w:b/>
      <w:kern w:val="32"/>
      <w:sz w:val="28"/>
      <w:lang w:eastAsia="en-AU"/>
    </w:rPr>
  </w:style>
  <w:style w:type="character" w:customStyle="1" w:styleId="Heading2Char">
    <w:name w:val="Heading 2 Char"/>
    <w:aliases w:val="SWA Heading 2 Char"/>
    <w:basedOn w:val="DefaultParagraphFont"/>
    <w:link w:val="Heading2"/>
    <w:uiPriority w:val="9"/>
    <w:rsid w:val="00B747D9"/>
    <w:rPr>
      <w:rFonts w:ascii="Arial Bold" w:eastAsiaTheme="majorEastAsia" w:hAnsi="Arial Bold" w:cstheme="majorBidi"/>
      <w:b/>
      <w:sz w:val="24"/>
      <w:szCs w:val="28"/>
      <w:lang w:eastAsia="en-AU"/>
    </w:rPr>
  </w:style>
  <w:style w:type="character" w:customStyle="1" w:styleId="Heading3Char">
    <w:name w:val="Heading 3 Char"/>
    <w:aliases w:val="SWA Heading 3 Char"/>
    <w:basedOn w:val="DefaultParagraphFont"/>
    <w:link w:val="Heading3"/>
    <w:uiPriority w:val="9"/>
    <w:rsid w:val="00B747D9"/>
    <w:rPr>
      <w:rFonts w:ascii="Arial Bold" w:eastAsiaTheme="majorEastAsia" w:hAnsi="Arial Bold" w:cstheme="majorBidi"/>
      <w:b/>
      <w:color w:val="C00000"/>
      <w:sz w:val="20"/>
      <w:szCs w:val="20"/>
    </w:rPr>
  </w:style>
  <w:style w:type="character" w:customStyle="1" w:styleId="Heading4Char">
    <w:name w:val="Heading 4 Char"/>
    <w:aliases w:val="SWA Heading 4 Char"/>
    <w:basedOn w:val="DefaultParagraphFont"/>
    <w:link w:val="Heading4"/>
    <w:uiPriority w:val="99"/>
    <w:rsid w:val="003411E8"/>
    <w:rPr>
      <w:rFonts w:ascii="Arial" w:eastAsiaTheme="majorEastAsia" w:hAnsi="Arial" w:cstheme="majorBidi"/>
      <w:b/>
      <w:spacing w:val="-3"/>
      <w:sz w:val="20"/>
    </w:rPr>
  </w:style>
  <w:style w:type="paragraph" w:styleId="Title">
    <w:name w:val="Title"/>
    <w:aliases w:val="SWA Title"/>
    <w:basedOn w:val="Normal"/>
    <w:link w:val="TitleChar"/>
    <w:uiPriority w:val="10"/>
    <w:qFormat/>
    <w:rsid w:val="001665F1"/>
    <w:pPr>
      <w:keepNext/>
      <w:overflowPunct w:val="0"/>
      <w:autoSpaceDE w:val="0"/>
      <w:autoSpaceDN w:val="0"/>
      <w:adjustRightInd w:val="0"/>
      <w:spacing w:before="240" w:after="60"/>
      <w:textAlignment w:val="baseline"/>
      <w:outlineLvl w:val="0"/>
    </w:pPr>
    <w:rPr>
      <w:rFonts w:ascii="Arial Bold" w:eastAsiaTheme="majorEastAsia" w:hAnsi="Arial Bold" w:cs="Arial"/>
      <w:b/>
      <w:bCs/>
      <w:color w:val="C00000"/>
      <w:kern w:val="28"/>
      <w:sz w:val="36"/>
      <w:szCs w:val="32"/>
      <w:lang w:eastAsia="en-US"/>
    </w:rPr>
  </w:style>
  <w:style w:type="character" w:customStyle="1" w:styleId="TitleChar">
    <w:name w:val="Title Char"/>
    <w:aliases w:val="SWA Title Char"/>
    <w:basedOn w:val="DefaultParagraphFont"/>
    <w:link w:val="Title"/>
    <w:uiPriority w:val="10"/>
    <w:rsid w:val="001665F1"/>
    <w:rPr>
      <w:rFonts w:ascii="Arial Bold" w:eastAsiaTheme="majorEastAsia" w:hAnsi="Arial Bold" w:cs="Arial"/>
      <w:b/>
      <w:bCs/>
      <w:color w:val="C00000"/>
      <w:kern w:val="28"/>
      <w:sz w:val="36"/>
      <w:szCs w:val="32"/>
    </w:rPr>
  </w:style>
  <w:style w:type="character" w:styleId="Strong">
    <w:name w:val="Strong"/>
    <w:aliases w:val="SWA Strong"/>
    <w:basedOn w:val="DefaultParagraphFont"/>
    <w:uiPriority w:val="22"/>
    <w:qFormat/>
    <w:rsid w:val="003411E8"/>
    <w:rPr>
      <w:rFonts w:ascii="Arial" w:hAnsi="Arial"/>
      <w:b/>
      <w:bCs/>
    </w:rPr>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SWA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SWA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SWACoverHeader">
    <w:name w:val="SWA Cover Header"/>
    <w:basedOn w:val="Title"/>
    <w:link w:val="SWACoverHeaderChar"/>
    <w:qFormat/>
    <w:rsid w:val="005865B9"/>
    <w:pPr>
      <w:spacing w:before="5000"/>
      <w:jc w:val="left"/>
    </w:pPr>
    <w:rPr>
      <w:color w:val="FFFFFF" w:themeColor="background1"/>
      <w:sz w:val="96"/>
      <w:szCs w:val="96"/>
    </w:rPr>
  </w:style>
  <w:style w:type="character" w:customStyle="1" w:styleId="SWACoverHeaderChar">
    <w:name w:val="SWA Cover Header Char"/>
    <w:basedOn w:val="TitleChar"/>
    <w:link w:val="SWACoverHeader"/>
    <w:rsid w:val="005865B9"/>
    <w:rPr>
      <w:rFonts w:ascii="Arial Bold" w:eastAsiaTheme="majorEastAsia" w:hAnsi="Arial Bold" w:cs="Arial"/>
      <w:b/>
      <w:bCs/>
      <w:color w:val="FFFFFF" w:themeColor="background1"/>
      <w:kern w:val="28"/>
      <w:sz w:val="96"/>
      <w:szCs w:val="96"/>
    </w:rPr>
  </w:style>
  <w:style w:type="paragraph" w:customStyle="1" w:styleId="Normaltwocolumn">
    <w:name w:val="Normal two column"/>
    <w:basedOn w:val="Normal"/>
    <w:link w:val="NormaltwocolumnChar"/>
    <w:rsid w:val="00365B5C"/>
  </w:style>
  <w:style w:type="paragraph" w:customStyle="1" w:styleId="SWACoverSubhead1">
    <w:name w:val="SWA Cover Sub head 1"/>
    <w:basedOn w:val="BasicParagraph"/>
    <w:link w:val="SWACoverSubhead1Char"/>
    <w:qFormat/>
    <w:rsid w:val="00365B5C"/>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SWACovernames">
    <w:name w:val="SWA Cover names"/>
    <w:basedOn w:val="BasicParagraph"/>
    <w:link w:val="SWACovernamesChar"/>
    <w:qFormat/>
    <w:rsid w:val="00365B5C"/>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SWACoverSubhead1Char">
    <w:name w:val="SWA Cover Sub head 1 Char"/>
    <w:basedOn w:val="BasicParagraphChar"/>
    <w:link w:val="SWACoverSubhead1"/>
    <w:rsid w:val="00365B5C"/>
    <w:rPr>
      <w:rFonts w:ascii="Arial" w:hAnsi="Arial" w:cs="Arial"/>
      <w:b/>
      <w:bCs/>
      <w:i/>
      <w:iCs/>
      <w:color w:val="FFFFFF" w:themeColor="background1"/>
      <w:spacing w:val="9"/>
      <w:sz w:val="43"/>
      <w:szCs w:val="43"/>
      <w:lang w:val="en-GB"/>
    </w:rPr>
  </w:style>
  <w:style w:type="paragraph" w:customStyle="1" w:styleId="SWACoverintroparagraph">
    <w:name w:val="SWA Cover intro paragraph"/>
    <w:basedOn w:val="BasicParagraph"/>
    <w:link w:val="SWACoverintroparagraphChar"/>
    <w:qFormat/>
    <w:rsid w:val="00365B5C"/>
    <w:pPr>
      <w:suppressAutoHyphens/>
    </w:pPr>
    <w:rPr>
      <w:rFonts w:ascii="Arial" w:hAnsi="Arial" w:cs="Arial"/>
      <w:color w:val="C10A26"/>
      <w:sz w:val="30"/>
      <w:szCs w:val="30"/>
    </w:rPr>
  </w:style>
  <w:style w:type="character" w:customStyle="1" w:styleId="SWACovernamesChar">
    <w:name w:val="SWA Cover names Char"/>
    <w:basedOn w:val="BasicParagraphChar"/>
    <w:link w:val="SWACovernames"/>
    <w:rsid w:val="00365B5C"/>
    <w:rPr>
      <w:rFonts w:ascii="Arial" w:hAnsi="Arial" w:cs="Arial"/>
      <w:i/>
      <w:iCs/>
      <w:color w:val="5E5E5D"/>
      <w:spacing w:val="9"/>
      <w:sz w:val="43"/>
      <w:szCs w:val="43"/>
      <w:lang w:val="en-GB"/>
    </w:rPr>
  </w:style>
  <w:style w:type="character" w:customStyle="1" w:styleId="SWACoverintroparagraphChar">
    <w:name w:val="SWA Cover intro paragraph Char"/>
    <w:basedOn w:val="BasicParagraphChar"/>
    <w:link w:val="SWACoverintroparagraph"/>
    <w:rsid w:val="00365B5C"/>
    <w:rPr>
      <w:rFonts w:ascii="Arial" w:hAnsi="Arial" w:cs="Arial"/>
      <w:color w:val="C10A26"/>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693312"/>
    <w:pPr>
      <w:spacing w:after="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pPr>
      <w:rPr>
        <w:rFonts w:ascii="Arial" w:hAnsi="Arial"/>
        <w:b/>
        <w:bCs/>
        <w:color w:val="FFFFFF" w:themeColor="background1"/>
        <w:sz w:val="22"/>
      </w:rPr>
      <w:tblPr/>
      <w:tcPr>
        <w:shd w:val="clear" w:color="auto" w:fill="AF1E2D"/>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08080" w:themeFill="background1" w:themeFillShade="80"/>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shd w:val="clear" w:color="auto" w:fill="EFD3D2" w:themeFill="accent2" w:themeFillTint="3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WAFeaturetext">
    <w:name w:val="SWA Feature text"/>
    <w:basedOn w:val="Normal"/>
    <w:link w:val="SWA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SWAFeaturetextChar">
    <w:name w:val="SWA Feature text Char"/>
    <w:basedOn w:val="DefaultParagraphFont"/>
    <w:link w:val="SWA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SWAFeaturetext"/>
    <w:link w:val="FeatureHeadingChar"/>
    <w:rsid w:val="007231AE"/>
    <w:pPr>
      <w:spacing w:after="120"/>
      <w:jc w:val="right"/>
    </w:pPr>
    <w:rPr>
      <w:b/>
      <w:color w:val="AF1E2D"/>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SWAFeaturetextChar"/>
    <w:link w:val="FeatureHeading"/>
    <w:rsid w:val="007231AE"/>
    <w:rPr>
      <w:rFonts w:ascii="Arial" w:eastAsia="Times New Roman" w:hAnsi="Arial" w:cs="Times New Roman"/>
      <w:b/>
      <w:color w:val="AF1E2D"/>
      <w:sz w:val="28"/>
      <w:szCs w:val="28"/>
      <w:shd w:val="clear" w:color="auto" w:fill="F2F2F2" w:themeFill="background1" w:themeFillShade="F2"/>
      <w:lang w:eastAsia="en-AU"/>
    </w:rPr>
  </w:style>
  <w:style w:type="paragraph" w:customStyle="1" w:styleId="SWAFeaturepagetitle">
    <w:name w:val="SWA Feature page title"/>
    <w:basedOn w:val="Heading1"/>
    <w:link w:val="SWAFeaturepagetitleChar"/>
    <w:qFormat/>
    <w:rsid w:val="00373889"/>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color w:val="AF1E2D"/>
    </w:rPr>
  </w:style>
  <w:style w:type="character" w:customStyle="1" w:styleId="SWAFeaturepagetitleChar">
    <w:name w:val="SWA Feature page title Char"/>
    <w:basedOn w:val="Heading1Char"/>
    <w:link w:val="SWAFeaturepagetitle"/>
    <w:rsid w:val="00373889"/>
    <w:rPr>
      <w:rFonts w:ascii="Arial Bold" w:eastAsiaTheme="majorEastAsia" w:hAnsi="Arial Bold" w:cs="Arial"/>
      <w:b/>
      <w:color w:val="AF1E2D"/>
      <w:kern w:val="32"/>
      <w:sz w:val="28"/>
      <w:shd w:val="clear" w:color="auto" w:fill="F2F2F2" w:themeFill="background1" w:themeFillShade="F2"/>
      <w:lang w:eastAsia="en-AU"/>
    </w:rPr>
  </w:style>
  <w:style w:type="paragraph" w:customStyle="1" w:styleId="SWA1stHeading">
    <w:name w:val="SWA 1st Heading"/>
    <w:basedOn w:val="Heading1"/>
    <w:next w:val="Normal"/>
    <w:qFormat/>
    <w:rsid w:val="00AD11A7"/>
    <w:pPr>
      <w:keepLines/>
      <w:numPr>
        <w:ilvl w:val="1"/>
        <w:numId w:val="1"/>
      </w:numPr>
      <w:spacing w:before="240"/>
      <w:ind w:left="709" w:hanging="709"/>
    </w:pPr>
    <w:rPr>
      <w:rFonts w:ascii="Arial" w:hAnsi="Arial"/>
      <w:color w:val="AF1E2D"/>
      <w:kern w:val="0"/>
      <w:sz w:val="32"/>
    </w:rPr>
  </w:style>
  <w:style w:type="paragraph" w:customStyle="1" w:styleId="WhiteHeading">
    <w:name w:val="White Heading"/>
    <w:basedOn w:val="Normal"/>
    <w:next w:val="Normal"/>
    <w:rsid w:val="00977671"/>
    <w:pPr>
      <w:keepNext/>
      <w:numPr>
        <w:numId w:val="1"/>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SWACaptionstyle">
    <w:name w:val="SWA Caption style"/>
    <w:basedOn w:val="Normal"/>
    <w:link w:val="SWACaptionstyleChar"/>
    <w:qFormat/>
    <w:rsid w:val="00937370"/>
    <w:rPr>
      <w:rFonts w:eastAsiaTheme="minorHAnsi"/>
      <w:sz w:val="18"/>
      <w:szCs w:val="18"/>
    </w:rPr>
  </w:style>
  <w:style w:type="paragraph" w:customStyle="1" w:styleId="SWABullets">
    <w:name w:val="SWA Bullets"/>
    <w:basedOn w:val="ListParagraph"/>
    <w:link w:val="SWABulletsChar"/>
    <w:qFormat/>
    <w:rsid w:val="00CA2B01"/>
    <w:pPr>
      <w:numPr>
        <w:numId w:val="2"/>
      </w:numPr>
    </w:pPr>
  </w:style>
  <w:style w:type="character" w:customStyle="1" w:styleId="SWACaptionstyleChar">
    <w:name w:val="SWA Caption style Char"/>
    <w:basedOn w:val="DefaultParagraphFont"/>
    <w:link w:val="SWA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SWABulletsChar">
    <w:name w:val="SWA Bullets Char"/>
    <w:basedOn w:val="ListParagraphChar"/>
    <w:link w:val="SWABullets"/>
    <w:rsid w:val="00CA2B01"/>
    <w:rPr>
      <w:rFonts w:ascii="Arial" w:eastAsia="Times New Roman" w:hAnsi="Arial" w:cs="Times New Roman"/>
      <w:sz w:val="20"/>
      <w:szCs w:val="20"/>
      <w:lang w:eastAsia="en-AU"/>
    </w:rPr>
  </w:style>
  <w:style w:type="paragraph" w:customStyle="1" w:styleId="SWATableheader">
    <w:name w:val="SWA Table header"/>
    <w:link w:val="SWATableheaderChar"/>
    <w:qFormat/>
    <w:rsid w:val="009C1651"/>
    <w:pPr>
      <w:keepNext/>
      <w:spacing w:before="200"/>
    </w:pPr>
    <w:rPr>
      <w:rFonts w:ascii="Arial" w:eastAsiaTheme="majorEastAsia" w:hAnsi="Arial" w:cstheme="majorBidi"/>
      <w:b/>
      <w:color w:val="AF1E2D"/>
      <w:spacing w:val="-3"/>
      <w:sz w:val="20"/>
    </w:rPr>
  </w:style>
  <w:style w:type="character" w:customStyle="1" w:styleId="SWATableheaderChar">
    <w:name w:val="SWA Table header Char"/>
    <w:basedOn w:val="Heading4Char"/>
    <w:link w:val="SWATableheader"/>
    <w:rsid w:val="009C1651"/>
    <w:rPr>
      <w:rFonts w:ascii="Arial" w:eastAsiaTheme="majorEastAsia" w:hAnsi="Arial" w:cstheme="majorBidi"/>
      <w:b/>
      <w:color w:val="AF1E2D"/>
      <w:spacing w:val="-3"/>
      <w:sz w:val="20"/>
    </w:rPr>
  </w:style>
  <w:style w:type="paragraph" w:customStyle="1" w:styleId="SWASectionnumberingheading">
    <w:name w:val="SWA Section numbering heading"/>
    <w:basedOn w:val="Heading1"/>
    <w:next w:val="Normal"/>
    <w:qFormat/>
    <w:rsid w:val="00C00338"/>
    <w:pPr>
      <w:keepLines/>
      <w:numPr>
        <w:numId w:val="5"/>
      </w:numPr>
      <w:tabs>
        <w:tab w:val="clear" w:pos="284"/>
        <w:tab w:val="num" w:pos="426"/>
      </w:tabs>
      <w:spacing w:before="360"/>
      <w:jc w:val="left"/>
    </w:pPr>
    <w:rPr>
      <w:rFonts w:ascii="Arial" w:hAnsi="Arial"/>
      <w:color w:val="AF1E2D"/>
      <w:kern w:val="0"/>
      <w:sz w:val="34"/>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16022"/>
    <w:pPr>
      <w:keepLines/>
      <w:spacing w:before="480" w:after="0" w:line="276" w:lineRule="auto"/>
      <w:outlineLvl w:val="9"/>
    </w:pPr>
    <w:rPr>
      <w:rFonts w:ascii="Arial" w:hAnsi="Arial" w:cstheme="majorBidi"/>
      <w:bCs/>
      <w:color w:val="C10A27"/>
      <w:kern w:val="0"/>
      <w:szCs w:val="28"/>
      <w:lang w:val="en-US" w:eastAsia="ja-JP"/>
    </w:rPr>
  </w:style>
  <w:style w:type="paragraph" w:styleId="TOC1">
    <w:name w:val="toc 1"/>
    <w:basedOn w:val="Normal"/>
    <w:next w:val="Normal"/>
    <w:autoRedefine/>
    <w:uiPriority w:val="39"/>
    <w:unhideWhenUsed/>
    <w:rsid w:val="00C00338"/>
    <w:pPr>
      <w:tabs>
        <w:tab w:val="left" w:pos="284"/>
        <w:tab w:val="right" w:leader="dot" w:pos="8820"/>
      </w:tabs>
      <w:spacing w:after="100"/>
    </w:pPr>
    <w:rPr>
      <w:noProof/>
    </w:rPr>
  </w:style>
  <w:style w:type="paragraph" w:styleId="TOC2">
    <w:name w:val="toc 2"/>
    <w:basedOn w:val="Normal"/>
    <w:next w:val="Normal"/>
    <w:autoRedefine/>
    <w:uiPriority w:val="39"/>
    <w:unhideWhenUsed/>
    <w:rsid w:val="00222F0C"/>
    <w:pPr>
      <w:tabs>
        <w:tab w:val="left" w:pos="709"/>
        <w:tab w:val="right" w:leader="dot" w:pos="8820"/>
      </w:tabs>
      <w:spacing w:after="100"/>
      <w:ind w:left="200"/>
    </w:pPr>
  </w:style>
  <w:style w:type="paragraph" w:styleId="TOC3">
    <w:name w:val="toc 3"/>
    <w:basedOn w:val="Normal"/>
    <w:next w:val="Normal"/>
    <w:autoRedefine/>
    <w:uiPriority w:val="39"/>
    <w:unhideWhenUsed/>
    <w:rsid w:val="00222F0C"/>
    <w:pPr>
      <w:tabs>
        <w:tab w:val="left" w:pos="1276"/>
        <w:tab w:val="right" w:leader="dot" w:pos="8820"/>
      </w:tabs>
      <w:spacing w:after="100"/>
      <w:ind w:left="709"/>
    </w:pPr>
  </w:style>
  <w:style w:type="paragraph" w:styleId="TOC8">
    <w:name w:val="toc 8"/>
    <w:basedOn w:val="Normal"/>
    <w:next w:val="Normal"/>
    <w:autoRedefine/>
    <w:uiPriority w:val="39"/>
    <w:semiHidden/>
    <w:unhideWhenUsed/>
    <w:rsid w:val="00D60313"/>
    <w:pPr>
      <w:spacing w:after="100"/>
      <w:ind w:left="1400"/>
    </w:pPr>
  </w:style>
  <w:style w:type="paragraph" w:customStyle="1" w:styleId="SWADisclaimerheading">
    <w:name w:val="SWA Disclaimer heading"/>
    <w:basedOn w:val="SWATableheader"/>
    <w:link w:val="SWADisclaimerheadingChar"/>
    <w:qFormat/>
    <w:rsid w:val="006A3D58"/>
    <w:pPr>
      <w:spacing w:after="120"/>
    </w:pPr>
    <w:rPr>
      <w:sz w:val="14"/>
      <w:szCs w:val="14"/>
    </w:rPr>
  </w:style>
  <w:style w:type="paragraph" w:customStyle="1" w:styleId="SWADisclaimerbodytext">
    <w:name w:val="SWA Disclaimer body text"/>
    <w:basedOn w:val="Normal"/>
    <w:link w:val="SWADisclaimerbodytextChar"/>
    <w:uiPriority w:val="2"/>
    <w:qFormat/>
    <w:rsid w:val="005865B9"/>
    <w:pPr>
      <w:spacing w:after="120" w:line="276" w:lineRule="auto"/>
      <w:jc w:val="left"/>
    </w:pPr>
    <w:rPr>
      <w:sz w:val="14"/>
      <w:szCs w:val="14"/>
    </w:rPr>
  </w:style>
  <w:style w:type="character" w:customStyle="1" w:styleId="SWADisclaimerheadingChar">
    <w:name w:val="SWA Disclaimer heading Char"/>
    <w:basedOn w:val="SWATableheaderChar"/>
    <w:link w:val="SWADisclaimerheading"/>
    <w:rsid w:val="006A3D58"/>
    <w:rPr>
      <w:rFonts w:ascii="Arial" w:eastAsiaTheme="majorEastAsia" w:hAnsi="Arial" w:cstheme="majorBidi"/>
      <w:b/>
      <w:color w:val="AF1E2D"/>
      <w:spacing w:val="-3"/>
      <w:sz w:val="14"/>
      <w:szCs w:val="14"/>
    </w:rPr>
  </w:style>
  <w:style w:type="paragraph" w:customStyle="1" w:styleId="SWASectiontitle">
    <w:name w:val="SWA Section title"/>
    <w:basedOn w:val="Title"/>
    <w:link w:val="SWASectiontitleChar"/>
    <w:qFormat/>
    <w:rsid w:val="00651D51"/>
    <w:pPr>
      <w:spacing w:before="6000"/>
      <w:jc w:val="right"/>
    </w:pPr>
    <w:rPr>
      <w:sz w:val="96"/>
      <w:szCs w:val="96"/>
    </w:rPr>
  </w:style>
  <w:style w:type="character" w:customStyle="1" w:styleId="SWADisclaimerbodytextChar">
    <w:name w:val="SWA Disclaimer body text Char"/>
    <w:basedOn w:val="DefaultParagraphFont"/>
    <w:link w:val="SWADisclaimerbodytext"/>
    <w:uiPriority w:val="2"/>
    <w:rsid w:val="005865B9"/>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651D51"/>
    <w:rPr>
      <w:rFonts w:ascii="Arial Bold" w:eastAsiaTheme="majorEastAsia" w:hAnsi="Arial Bold" w:cs="Arial"/>
      <w:b/>
      <w:bCs/>
      <w:color w:val="C00000"/>
      <w:kern w:val="28"/>
      <w:sz w:val="96"/>
      <w:szCs w:val="96"/>
    </w:rPr>
  </w:style>
  <w:style w:type="paragraph" w:styleId="Quote">
    <w:name w:val="Quote"/>
    <w:aliases w:val="SWA Quote"/>
    <w:basedOn w:val="Normal"/>
    <w:next w:val="Normal"/>
    <w:link w:val="QuoteChar"/>
    <w:uiPriority w:val="29"/>
    <w:qFormat/>
    <w:rsid w:val="000B3499"/>
    <w:rPr>
      <w:i/>
      <w:iCs/>
      <w:color w:val="000000" w:themeColor="text1"/>
    </w:rPr>
  </w:style>
  <w:style w:type="character" w:customStyle="1" w:styleId="QuoteChar">
    <w:name w:val="Quote Char"/>
    <w:aliases w:val="SWA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SwaHeading1featurepage">
    <w:name w:val="Swa Heading 1 feature page"/>
    <w:basedOn w:val="SWAFeaturepagetitle"/>
    <w:link w:val="SwaHeading1featurepageChar"/>
    <w:qFormat/>
    <w:rsid w:val="003E0A80"/>
    <w:rPr>
      <w:color w:val="000000" w:themeColor="text1"/>
    </w:rPr>
  </w:style>
  <w:style w:type="paragraph" w:customStyle="1" w:styleId="SWAHeading2Featurepage">
    <w:name w:val="SWA Heading 2 Feature page"/>
    <w:basedOn w:val="SwaHeading1featurepage"/>
    <w:link w:val="SWAHeading2FeaturepageChar"/>
    <w:qFormat/>
    <w:rsid w:val="003E0A80"/>
    <w:rPr>
      <w:sz w:val="22"/>
    </w:rPr>
  </w:style>
  <w:style w:type="character" w:customStyle="1" w:styleId="SwaHeading1featurepageChar">
    <w:name w:val="Swa Heading 1 feature page Char"/>
    <w:basedOn w:val="SWAFeaturepagetitleChar"/>
    <w:link w:val="SwaHeading1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character" w:customStyle="1" w:styleId="SWAHeading2FeaturepageChar">
    <w:name w:val="SWA Heading 2 Feature page Char"/>
    <w:basedOn w:val="SwaHeading1featurepageChar"/>
    <w:link w:val="SWAHeading2Featurepage"/>
    <w:rsid w:val="003E0A80"/>
    <w:rPr>
      <w:rFonts w:ascii="Arial Bold" w:eastAsiaTheme="majorEastAsia" w:hAnsi="Arial Bold" w:cs="Arial"/>
      <w:b/>
      <w:color w:val="000000" w:themeColor="text1"/>
      <w:kern w:val="32"/>
      <w:sz w:val="28"/>
      <w:shd w:val="clear" w:color="auto" w:fill="F2F2F2" w:themeFill="background1" w:themeFillShade="F2"/>
      <w:lang w:eastAsia="en-AU"/>
    </w:rPr>
  </w:style>
  <w:style w:type="paragraph" w:customStyle="1" w:styleId="SWAnumbering">
    <w:name w:val="SWA numbering"/>
    <w:basedOn w:val="SWABullets"/>
    <w:qFormat/>
    <w:rsid w:val="00963657"/>
    <w:pPr>
      <w:numPr>
        <w:numId w:val="3"/>
      </w:numPr>
      <w:spacing w:before="0" w:after="120"/>
      <w:ind w:left="1077" w:hanging="357"/>
    </w:pPr>
  </w:style>
  <w:style w:type="paragraph" w:styleId="Caption">
    <w:name w:val="caption"/>
    <w:basedOn w:val="Normal"/>
    <w:next w:val="Normal"/>
    <w:uiPriority w:val="35"/>
    <w:unhideWhenUsed/>
    <w:qFormat/>
    <w:rsid w:val="00D10D6A"/>
    <w:pPr>
      <w:spacing w:before="0"/>
    </w:pPr>
    <w:rPr>
      <w:b/>
      <w:bCs/>
      <w:color w:val="4F81BD" w:themeColor="accent1"/>
      <w:sz w:val="18"/>
      <w:szCs w:val="18"/>
    </w:rPr>
  </w:style>
  <w:style w:type="paragraph" w:customStyle="1" w:styleId="Footnote">
    <w:name w:val="Footnote"/>
    <w:basedOn w:val="BodyText"/>
    <w:uiPriority w:val="99"/>
    <w:rsid w:val="00921410"/>
    <w:pPr>
      <w:suppressAutoHyphens/>
      <w:autoSpaceDE w:val="0"/>
      <w:autoSpaceDN w:val="0"/>
      <w:adjustRightInd w:val="0"/>
      <w:spacing w:before="120" w:after="0" w:line="180" w:lineRule="atLeast"/>
      <w:textAlignment w:val="center"/>
    </w:pPr>
    <w:rPr>
      <w:rFonts w:eastAsiaTheme="minorHAnsi" w:cs="Arial"/>
      <w:color w:val="000000"/>
      <w:sz w:val="16"/>
      <w:szCs w:val="16"/>
      <w:lang w:val="en-US" w:eastAsia="en-US"/>
    </w:rPr>
  </w:style>
  <w:style w:type="paragraph" w:styleId="BodyText">
    <w:name w:val="Body Text"/>
    <w:basedOn w:val="Normal"/>
    <w:link w:val="BodyTextChar"/>
    <w:uiPriority w:val="99"/>
    <w:unhideWhenUsed/>
    <w:rsid w:val="00D10D6A"/>
    <w:pPr>
      <w:spacing w:after="120"/>
    </w:pPr>
  </w:style>
  <w:style w:type="character" w:customStyle="1" w:styleId="BodyTextChar">
    <w:name w:val="Body Text Char"/>
    <w:basedOn w:val="DefaultParagraphFont"/>
    <w:link w:val="BodyText"/>
    <w:uiPriority w:val="99"/>
    <w:rsid w:val="00D10D6A"/>
    <w:rPr>
      <w:rFonts w:ascii="Arial" w:eastAsia="Times New Roman" w:hAnsi="Arial" w:cs="Times New Roman"/>
      <w:sz w:val="20"/>
      <w:szCs w:val="24"/>
      <w:lang w:eastAsia="en-AU"/>
    </w:rPr>
  </w:style>
  <w:style w:type="paragraph" w:customStyle="1" w:styleId="BodyJustified">
    <w:name w:val="Body Justified"/>
    <w:basedOn w:val="Normal"/>
    <w:next w:val="Normal"/>
    <w:autoRedefine/>
    <w:qFormat/>
    <w:rsid w:val="00C811CD"/>
    <w:pPr>
      <w:suppressAutoHyphens/>
      <w:spacing w:before="120" w:after="120" w:line="276" w:lineRule="auto"/>
      <w:textboxTightWrap w:val="firstLineOnly"/>
    </w:pPr>
    <w:rPr>
      <w:rFonts w:eastAsiaTheme="minorHAnsi" w:cs="Arial"/>
      <w:szCs w:val="22"/>
      <w:lang w:val="en-US" w:eastAsia="en-US"/>
    </w:rPr>
  </w:style>
  <w:style w:type="character" w:customStyle="1" w:styleId="Hyperlinks">
    <w:name w:val="Hyperlinks"/>
    <w:uiPriority w:val="99"/>
    <w:rsid w:val="006F15AC"/>
    <w:rPr>
      <w:color w:val="004266"/>
      <w:u w:val="single"/>
    </w:rPr>
  </w:style>
  <w:style w:type="paragraph" w:customStyle="1" w:styleId="SWASectionnum2">
    <w:name w:val="SWA Section num 2"/>
    <w:basedOn w:val="SWASectionnumberingheading"/>
    <w:qFormat/>
    <w:rsid w:val="00C00338"/>
    <w:pPr>
      <w:numPr>
        <w:ilvl w:val="1"/>
      </w:numPr>
    </w:pPr>
    <w:rPr>
      <w:sz w:val="32"/>
    </w:rPr>
  </w:style>
  <w:style w:type="numbering" w:customStyle="1" w:styleId="SecNumb">
    <w:name w:val="SecNumb"/>
    <w:uiPriority w:val="99"/>
    <w:rsid w:val="00C00338"/>
    <w:pPr>
      <w:numPr>
        <w:numId w:val="4"/>
      </w:numPr>
    </w:pPr>
  </w:style>
  <w:style w:type="paragraph" w:customStyle="1" w:styleId="SWASectionnum3">
    <w:name w:val="SWA Section num 3"/>
    <w:basedOn w:val="SWASectionnum2"/>
    <w:qFormat/>
    <w:rsid w:val="008E013C"/>
    <w:pPr>
      <w:numPr>
        <w:ilvl w:val="2"/>
      </w:numPr>
    </w:pPr>
  </w:style>
  <w:style w:type="paragraph" w:customStyle="1" w:styleId="Titlesmall">
    <w:name w:val="Title small"/>
    <w:basedOn w:val="Title"/>
    <w:qFormat/>
    <w:rsid w:val="001665F1"/>
    <w:pPr>
      <w:spacing w:before="360" w:after="240"/>
    </w:pPr>
    <w:rPr>
      <w:sz w:val="32"/>
    </w:rPr>
  </w:style>
  <w:style w:type="character" w:customStyle="1" w:styleId="Heading5Char">
    <w:name w:val="Heading 5 Char"/>
    <w:basedOn w:val="DefaultParagraphFont"/>
    <w:link w:val="Heading5"/>
    <w:uiPriority w:val="9"/>
    <w:semiHidden/>
    <w:rsid w:val="00A8653F"/>
    <w:rPr>
      <w:rFonts w:asciiTheme="majorHAnsi" w:eastAsiaTheme="majorEastAsia" w:hAnsiTheme="majorHAnsi" w:cstheme="majorBidi"/>
      <w:color w:val="5E563A"/>
    </w:rPr>
  </w:style>
  <w:style w:type="paragraph" w:customStyle="1" w:styleId="NoParagraphStyle">
    <w:name w:val="[No Paragraph Style]"/>
    <w:rsid w:val="00A8653F"/>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DotPoints">
    <w:name w:val="Dot Points"/>
    <w:basedOn w:val="BodyText"/>
    <w:uiPriority w:val="99"/>
    <w:rsid w:val="00A8653F"/>
    <w:pPr>
      <w:suppressAutoHyphens/>
      <w:autoSpaceDE w:val="0"/>
      <w:autoSpaceDN w:val="0"/>
      <w:adjustRightInd w:val="0"/>
      <w:spacing w:before="0" w:after="57" w:line="288" w:lineRule="auto"/>
      <w:ind w:left="567" w:hanging="283"/>
      <w:jc w:val="left"/>
      <w:textAlignment w:val="center"/>
    </w:pPr>
    <w:rPr>
      <w:rFonts w:eastAsiaTheme="minorHAnsi" w:cs="Arial"/>
      <w:color w:val="000000"/>
      <w:sz w:val="22"/>
      <w:szCs w:val="22"/>
      <w:lang w:val="en-US" w:eastAsia="en-US"/>
    </w:rPr>
  </w:style>
  <w:style w:type="paragraph" w:customStyle="1" w:styleId="BodyTextindented">
    <w:name w:val="Body Text indented"/>
    <w:basedOn w:val="BodyText"/>
    <w:uiPriority w:val="99"/>
    <w:rsid w:val="00FC23B4"/>
    <w:pPr>
      <w:suppressAutoHyphens/>
      <w:autoSpaceDE w:val="0"/>
      <w:autoSpaceDN w:val="0"/>
      <w:adjustRightInd w:val="0"/>
      <w:spacing w:before="0" w:after="113" w:line="288" w:lineRule="auto"/>
      <w:ind w:left="851"/>
      <w:textAlignment w:val="center"/>
    </w:pPr>
    <w:rPr>
      <w:rFonts w:eastAsiaTheme="minorHAnsi" w:cs="Arial"/>
      <w:color w:val="000000"/>
      <w:szCs w:val="22"/>
      <w:lang w:val="en-US" w:eastAsia="en-US"/>
    </w:rPr>
  </w:style>
  <w:style w:type="character" w:customStyle="1" w:styleId="Italics">
    <w:name w:val="Italics"/>
    <w:uiPriority w:val="99"/>
    <w:rsid w:val="00A8653F"/>
    <w:rPr>
      <w:i/>
      <w:iCs/>
    </w:rPr>
  </w:style>
  <w:style w:type="paragraph" w:customStyle="1" w:styleId="Heading1TOCheadings">
    <w:name w:val="Heading 1 TOC headings"/>
    <w:basedOn w:val="Heading1"/>
    <w:uiPriority w:val="99"/>
    <w:rsid w:val="00A8653F"/>
    <w:pPr>
      <w:keepNext w:val="0"/>
      <w:suppressAutoHyphens/>
      <w:autoSpaceDE w:val="0"/>
      <w:autoSpaceDN w:val="0"/>
      <w:adjustRightInd w:val="0"/>
      <w:spacing w:before="0" w:after="227" w:line="288" w:lineRule="auto"/>
      <w:jc w:val="left"/>
      <w:textAlignment w:val="center"/>
      <w:outlineLvl w:val="9"/>
    </w:pPr>
    <w:rPr>
      <w:rFonts w:ascii="Arial" w:eastAsiaTheme="minorHAnsi" w:hAnsi="Arial"/>
      <w:bCs/>
      <w:color w:val="145B85"/>
      <w:kern w:val="0"/>
      <w:sz w:val="40"/>
      <w:szCs w:val="48"/>
      <w:lang w:val="en-GB" w:eastAsia="en-US"/>
    </w:rPr>
  </w:style>
  <w:style w:type="paragraph" w:customStyle="1" w:styleId="Figureheading">
    <w:name w:val="Figure heading"/>
    <w:basedOn w:val="NoParagraphStyle"/>
    <w:uiPriority w:val="99"/>
    <w:rsid w:val="00A8653F"/>
    <w:pPr>
      <w:suppressAutoHyphens/>
      <w:spacing w:before="100" w:after="100" w:line="220" w:lineRule="atLeast"/>
      <w:ind w:left="1134" w:hanging="1134"/>
    </w:pPr>
    <w:rPr>
      <w:rFonts w:ascii="Arial" w:hAnsi="Arial" w:cs="Arial"/>
      <w:b/>
      <w:bCs/>
      <w:sz w:val="20"/>
      <w:szCs w:val="20"/>
    </w:rPr>
  </w:style>
  <w:style w:type="paragraph" w:customStyle="1" w:styleId="TableName">
    <w:name w:val="Table Name"/>
    <w:basedOn w:val="Figureheading"/>
    <w:uiPriority w:val="99"/>
    <w:rsid w:val="00A8653F"/>
  </w:style>
  <w:style w:type="paragraph" w:customStyle="1" w:styleId="Tablenumber">
    <w:name w:val="Table number"/>
    <w:basedOn w:val="BodyText"/>
    <w:autoRedefine/>
    <w:uiPriority w:val="99"/>
    <w:rsid w:val="00A8653F"/>
    <w:pPr>
      <w:suppressAutoHyphens/>
      <w:autoSpaceDE w:val="0"/>
      <w:autoSpaceDN w:val="0"/>
      <w:adjustRightInd w:val="0"/>
      <w:spacing w:before="80" w:after="80" w:line="160" w:lineRule="atLeast"/>
      <w:jc w:val="left"/>
      <w:textAlignment w:val="center"/>
    </w:pPr>
    <w:rPr>
      <w:rFonts w:eastAsiaTheme="minorHAnsi" w:cs="Arial"/>
      <w:color w:val="000000"/>
      <w:sz w:val="16"/>
      <w:szCs w:val="16"/>
      <w:lang w:val="en-GB" w:eastAsia="en-US"/>
    </w:rPr>
  </w:style>
  <w:style w:type="paragraph" w:customStyle="1" w:styleId="Tablecolumnheadings">
    <w:name w:val="Table column headings"/>
    <w:basedOn w:val="Tablenumber"/>
    <w:autoRedefine/>
    <w:uiPriority w:val="99"/>
    <w:rsid w:val="00A8653F"/>
    <w:pPr>
      <w:jc w:val="center"/>
    </w:pPr>
    <w:rPr>
      <w:b/>
      <w:bCs/>
      <w:sz w:val="18"/>
      <w:szCs w:val="18"/>
    </w:rPr>
  </w:style>
  <w:style w:type="paragraph" w:customStyle="1" w:styleId="Tablestubheadings">
    <w:name w:val="Table stub headings"/>
    <w:basedOn w:val="Tablecolumnheadings"/>
    <w:uiPriority w:val="99"/>
    <w:rsid w:val="00A8653F"/>
    <w:pPr>
      <w:jc w:val="left"/>
    </w:pPr>
  </w:style>
  <w:style w:type="paragraph" w:customStyle="1" w:styleId="Tablesubheadingsbold">
    <w:name w:val="Table sub headings bold"/>
    <w:basedOn w:val="Tablestubheadings"/>
    <w:autoRedefine/>
    <w:uiPriority w:val="99"/>
    <w:rsid w:val="00115E9C"/>
    <w:rPr>
      <w:bCs w:val="0"/>
    </w:rPr>
  </w:style>
  <w:style w:type="paragraph" w:customStyle="1" w:styleId="Tablenumberbold">
    <w:name w:val="Table number bold"/>
    <w:basedOn w:val="Tablenumber"/>
    <w:uiPriority w:val="99"/>
    <w:rsid w:val="00A8653F"/>
    <w:rPr>
      <w:b/>
      <w:bCs/>
    </w:rPr>
  </w:style>
  <w:style w:type="character" w:customStyle="1" w:styleId="Classificationitalics">
    <w:name w:val="Classification italics"/>
    <w:uiPriority w:val="99"/>
    <w:rsid w:val="00A8653F"/>
    <w:rPr>
      <w:rFonts w:ascii="Arial" w:hAnsi="Arial" w:cs="Arial"/>
      <w:i/>
      <w:iCs/>
      <w:sz w:val="22"/>
      <w:szCs w:val="22"/>
    </w:rPr>
  </w:style>
  <w:style w:type="paragraph" w:customStyle="1" w:styleId="Tablewafer">
    <w:name w:val="Table wafer"/>
    <w:basedOn w:val="Tablestubheadings"/>
    <w:autoRedefine/>
    <w:uiPriority w:val="99"/>
    <w:rsid w:val="00A8653F"/>
    <w:pPr>
      <w:jc w:val="center"/>
    </w:pPr>
  </w:style>
  <w:style w:type="paragraph" w:styleId="NormalWeb">
    <w:name w:val="Normal (Web)"/>
    <w:basedOn w:val="Normal"/>
    <w:uiPriority w:val="99"/>
    <w:semiHidden/>
    <w:unhideWhenUsed/>
    <w:rsid w:val="00A8653F"/>
    <w:pPr>
      <w:spacing w:before="100" w:beforeAutospacing="1" w:after="100" w:afterAutospacing="1"/>
      <w:jc w:val="left"/>
    </w:pPr>
    <w:rPr>
      <w:rFonts w:ascii="Times New Roman" w:eastAsiaTheme="minorEastAsia" w:hAnsi="Times New Roman"/>
      <w:sz w:val="24"/>
    </w:rPr>
  </w:style>
  <w:style w:type="character" w:customStyle="1" w:styleId="Colouredsection">
    <w:name w:val="Coloured section"/>
    <w:uiPriority w:val="99"/>
    <w:rsid w:val="00A8653F"/>
    <w:rPr>
      <w:rFonts w:ascii="Arial" w:hAnsi="Arial" w:cs="Arial"/>
      <w:color w:val="009EA0"/>
      <w:sz w:val="22"/>
      <w:szCs w:val="22"/>
    </w:rPr>
  </w:style>
  <w:style w:type="character" w:styleId="CommentReference">
    <w:name w:val="annotation reference"/>
    <w:basedOn w:val="DefaultParagraphFont"/>
    <w:uiPriority w:val="99"/>
    <w:semiHidden/>
    <w:unhideWhenUsed/>
    <w:rsid w:val="00A8653F"/>
    <w:rPr>
      <w:sz w:val="16"/>
      <w:szCs w:val="16"/>
    </w:rPr>
  </w:style>
  <w:style w:type="paragraph" w:styleId="CommentText">
    <w:name w:val="annotation text"/>
    <w:basedOn w:val="Normal"/>
    <w:link w:val="CommentTextChar"/>
    <w:uiPriority w:val="99"/>
    <w:unhideWhenUsed/>
    <w:rsid w:val="00A8653F"/>
    <w:pPr>
      <w:spacing w:before="0" w:after="200"/>
      <w:jc w:val="left"/>
    </w:pPr>
    <w:rPr>
      <w:rFonts w:eastAsiaTheme="minorHAnsi" w:cs="Arial"/>
      <w:szCs w:val="20"/>
      <w:lang w:eastAsia="en-US"/>
    </w:rPr>
  </w:style>
  <w:style w:type="character" w:customStyle="1" w:styleId="CommentTextChar">
    <w:name w:val="Comment Text Char"/>
    <w:basedOn w:val="DefaultParagraphFont"/>
    <w:link w:val="CommentText"/>
    <w:uiPriority w:val="99"/>
    <w:rsid w:val="00A8653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8653F"/>
    <w:rPr>
      <w:b/>
      <w:bCs/>
    </w:rPr>
  </w:style>
  <w:style w:type="character" w:customStyle="1" w:styleId="CommentSubjectChar">
    <w:name w:val="Comment Subject Char"/>
    <w:basedOn w:val="CommentTextChar"/>
    <w:link w:val="CommentSubject"/>
    <w:uiPriority w:val="99"/>
    <w:semiHidden/>
    <w:rsid w:val="00A8653F"/>
    <w:rPr>
      <w:rFonts w:ascii="Arial" w:hAnsi="Arial" w:cs="Arial"/>
      <w:b/>
      <w:bCs/>
      <w:sz w:val="20"/>
      <w:szCs w:val="20"/>
    </w:rPr>
  </w:style>
  <w:style w:type="paragraph" w:customStyle="1" w:styleId="Appendixtablehead">
    <w:name w:val="Appendix table head"/>
    <w:basedOn w:val="Normal"/>
    <w:qFormat/>
    <w:rsid w:val="00A8653F"/>
    <w:pPr>
      <w:spacing w:before="0" w:after="200" w:line="276" w:lineRule="auto"/>
      <w:ind w:left="567" w:hanging="283"/>
      <w:jc w:val="left"/>
    </w:pPr>
    <w:rPr>
      <w:rFonts w:eastAsiaTheme="minorHAnsi" w:cs="Arial"/>
      <w:b/>
      <w:szCs w:val="20"/>
      <w:lang w:eastAsia="en-US"/>
    </w:rPr>
  </w:style>
  <w:style w:type="paragraph" w:customStyle="1" w:styleId="Tableheader">
    <w:name w:val="Table header"/>
    <w:basedOn w:val="Appendixtablehead"/>
    <w:qFormat/>
    <w:rsid w:val="00A8653F"/>
    <w:pPr>
      <w:suppressAutoHyphens/>
      <w:autoSpaceDE w:val="0"/>
      <w:autoSpaceDN w:val="0"/>
      <w:adjustRightInd w:val="0"/>
      <w:spacing w:after="113" w:line="288" w:lineRule="auto"/>
      <w:ind w:left="284" w:firstLine="0"/>
      <w:textAlignment w:val="center"/>
    </w:pPr>
    <w:rPr>
      <w:bCs/>
      <w:color w:val="000000"/>
      <w:lang w:val="en-GB"/>
    </w:rPr>
  </w:style>
  <w:style w:type="paragraph" w:customStyle="1" w:styleId="Sub-heading">
    <w:name w:val="Sub-heading"/>
    <w:basedOn w:val="Normal"/>
    <w:autoRedefine/>
    <w:qFormat/>
    <w:rsid w:val="0002740D"/>
    <w:pPr>
      <w:suppressAutoHyphens/>
      <w:autoSpaceDE w:val="0"/>
      <w:autoSpaceDN w:val="0"/>
      <w:adjustRightInd w:val="0"/>
      <w:spacing w:before="120" w:after="120" w:line="288" w:lineRule="auto"/>
      <w:jc w:val="left"/>
      <w:textAlignment w:val="center"/>
    </w:pPr>
    <w:rPr>
      <w:rFonts w:eastAsiaTheme="minorHAnsi" w:cs="Arial"/>
      <w:b/>
      <w:bCs/>
      <w:color w:val="C00000"/>
      <w:szCs w:val="20"/>
      <w:lang w:val="en-GB" w:eastAsia="en-US"/>
    </w:rPr>
  </w:style>
  <w:style w:type="paragraph" w:customStyle="1" w:styleId="Foreword">
    <w:name w:val="Foreword"/>
    <w:basedOn w:val="Normal"/>
    <w:qFormat/>
    <w:rsid w:val="00A8653F"/>
    <w:pPr>
      <w:suppressAutoHyphens/>
      <w:autoSpaceDE w:val="0"/>
      <w:autoSpaceDN w:val="0"/>
      <w:adjustRightInd w:val="0"/>
      <w:spacing w:before="0" w:after="227" w:line="288" w:lineRule="auto"/>
      <w:jc w:val="left"/>
      <w:textAlignment w:val="center"/>
      <w:outlineLvl w:val="0"/>
    </w:pPr>
    <w:rPr>
      <w:rFonts w:eastAsiaTheme="minorHAnsi" w:cs="Arial"/>
      <w:b/>
      <w:bCs/>
      <w:color w:val="145B85"/>
      <w:sz w:val="48"/>
      <w:szCs w:val="48"/>
      <w:lang w:val="en-GB" w:eastAsia="en-US"/>
    </w:rPr>
  </w:style>
  <w:style w:type="paragraph" w:customStyle="1" w:styleId="Summary">
    <w:name w:val="Summary"/>
    <w:qFormat/>
    <w:rsid w:val="00A8653F"/>
    <w:pPr>
      <w:spacing w:after="0"/>
      <w:jc w:val="right"/>
    </w:pPr>
    <w:rPr>
      <w:rFonts w:ascii="Arial" w:hAnsi="Arial" w:cs="Arial"/>
      <w:b/>
      <w:color w:val="145B85"/>
      <w:sz w:val="32"/>
      <w:szCs w:val="32"/>
      <w:lang w:val="en-GB"/>
    </w:rPr>
  </w:style>
  <w:style w:type="paragraph" w:customStyle="1" w:styleId="Tablecontents">
    <w:name w:val="Table contents"/>
    <w:basedOn w:val="Tablestubheadings"/>
    <w:qFormat/>
    <w:rsid w:val="00A8653F"/>
    <w:rPr>
      <w:b w:val="0"/>
    </w:rPr>
  </w:style>
  <w:style w:type="paragraph" w:customStyle="1" w:styleId="Footnotecompressed">
    <w:name w:val="Footnote compressed"/>
    <w:basedOn w:val="Footnote"/>
    <w:qFormat/>
    <w:rsid w:val="00A8653F"/>
    <w:pPr>
      <w:numPr>
        <w:numId w:val="8"/>
      </w:numPr>
      <w:spacing w:before="0" w:line="240" w:lineRule="auto"/>
    </w:pPr>
  </w:style>
  <w:style w:type="character" w:customStyle="1" w:styleId="tgc">
    <w:name w:val="_tgc"/>
    <w:basedOn w:val="DefaultParagraphFont"/>
    <w:rsid w:val="00A8653F"/>
  </w:style>
  <w:style w:type="paragraph" w:customStyle="1" w:styleId="swa">
    <w:name w:val="swa"/>
    <w:basedOn w:val="Heading3"/>
    <w:qFormat/>
    <w:rsid w:val="00A8653F"/>
    <w:pPr>
      <w:keepLines/>
      <w:overflowPunct/>
      <w:autoSpaceDE/>
      <w:autoSpaceDN/>
      <w:adjustRightInd/>
      <w:spacing w:before="200" w:after="200" w:line="276" w:lineRule="auto"/>
      <w:jc w:val="center"/>
      <w:textAlignment w:val="auto"/>
    </w:pPr>
    <w:rPr>
      <w:rFonts w:ascii="Arial" w:hAnsi="Arial" w:cs="Arial"/>
      <w:bCs/>
      <w:color w:val="145B85"/>
      <w:sz w:val="36"/>
      <w:szCs w:val="22"/>
      <w:lang w:val="en-GB"/>
    </w:rPr>
  </w:style>
  <w:style w:type="paragraph" w:customStyle="1" w:styleId="HeaderChapterStart">
    <w:name w:val="Header Chapter Start"/>
    <w:basedOn w:val="Header"/>
    <w:qFormat/>
    <w:rsid w:val="00A8653F"/>
    <w:pPr>
      <w:spacing w:before="0"/>
      <w:jc w:val="left"/>
    </w:pPr>
    <w:rPr>
      <w:rFonts w:eastAsiaTheme="minorHAnsi" w:cs="Arial"/>
      <w:i/>
      <w:color w:val="145B85"/>
      <w:szCs w:val="22"/>
      <w:lang w:eastAsia="en-US"/>
    </w:rPr>
  </w:style>
  <w:style w:type="paragraph" w:customStyle="1" w:styleId="Body">
    <w:name w:val="Body"/>
    <w:basedOn w:val="Normal"/>
    <w:link w:val="BodyChar"/>
    <w:qFormat/>
    <w:rsid w:val="00A8653F"/>
    <w:pPr>
      <w:spacing w:before="120" w:after="120" w:line="300" w:lineRule="auto"/>
      <w:jc w:val="left"/>
    </w:pPr>
    <w:rPr>
      <w:szCs w:val="20"/>
      <w:lang w:eastAsia="en-US"/>
    </w:rPr>
  </w:style>
  <w:style w:type="character" w:customStyle="1" w:styleId="BodyChar">
    <w:name w:val="Body Char"/>
    <w:link w:val="Body"/>
    <w:rsid w:val="00A8653F"/>
    <w:rPr>
      <w:rFonts w:ascii="Arial" w:eastAsia="Times New Roman" w:hAnsi="Arial" w:cs="Times New Roman"/>
      <w:sz w:val="20"/>
      <w:szCs w:val="20"/>
    </w:rPr>
  </w:style>
  <w:style w:type="paragraph" w:styleId="Subtitle">
    <w:name w:val="Subtitle"/>
    <w:basedOn w:val="NoParagraphStyle"/>
    <w:next w:val="Body"/>
    <w:link w:val="SubtitleChar"/>
    <w:uiPriority w:val="11"/>
    <w:qFormat/>
    <w:rsid w:val="00A8653F"/>
    <w:pPr>
      <w:spacing w:before="2268"/>
      <w:contextualSpacing/>
      <w:jc w:val="right"/>
    </w:pPr>
    <w:rPr>
      <w:rFonts w:ascii="Arial" w:hAnsi="Arial" w:cs="Arial"/>
      <w:color w:val="145B85"/>
      <w:sz w:val="50"/>
      <w:szCs w:val="50"/>
    </w:rPr>
  </w:style>
  <w:style w:type="character" w:customStyle="1" w:styleId="SubtitleChar">
    <w:name w:val="Subtitle Char"/>
    <w:basedOn w:val="DefaultParagraphFont"/>
    <w:link w:val="Subtitle"/>
    <w:uiPriority w:val="11"/>
    <w:rsid w:val="00A8653F"/>
    <w:rPr>
      <w:rFonts w:ascii="Arial" w:hAnsi="Arial" w:cs="Arial"/>
      <w:color w:val="145B85"/>
      <w:sz w:val="50"/>
      <w:szCs w:val="50"/>
      <w:lang w:val="en-GB"/>
    </w:rPr>
  </w:style>
  <w:style w:type="paragraph" w:customStyle="1" w:styleId="Default">
    <w:name w:val="Default"/>
    <w:rsid w:val="00A8653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8653F"/>
    <w:pPr>
      <w:spacing w:after="0" w:line="240" w:lineRule="auto"/>
    </w:pPr>
    <w:rPr>
      <w:rFonts w:ascii="Arial" w:hAnsi="Arial" w:cs="Arial"/>
    </w:rPr>
  </w:style>
  <w:style w:type="table" w:styleId="LightShading">
    <w:name w:val="Light Shading"/>
    <w:basedOn w:val="TableNormal"/>
    <w:uiPriority w:val="60"/>
    <w:rsid w:val="0069331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69331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ForTable">
    <w:name w:val="For Table"/>
    <w:basedOn w:val="Normal"/>
    <w:qFormat/>
    <w:rsid w:val="00693312"/>
    <w:pPr>
      <w:spacing w:before="0"/>
      <w:jc w:val="left"/>
    </w:pPr>
    <w:rPr>
      <w:bCs/>
      <w:sz w:val="16"/>
      <w:szCs w:val="16"/>
    </w:rPr>
  </w:style>
  <w:style w:type="paragraph" w:styleId="FootnoteText">
    <w:name w:val="footnote text"/>
    <w:basedOn w:val="Normal"/>
    <w:link w:val="FootnoteTextChar"/>
    <w:uiPriority w:val="99"/>
    <w:semiHidden/>
    <w:unhideWhenUsed/>
    <w:rsid w:val="005C2223"/>
    <w:pPr>
      <w:spacing w:before="0"/>
    </w:pPr>
    <w:rPr>
      <w:szCs w:val="20"/>
    </w:rPr>
  </w:style>
  <w:style w:type="character" w:customStyle="1" w:styleId="FootnoteTextChar">
    <w:name w:val="Footnote Text Char"/>
    <w:basedOn w:val="DefaultParagraphFont"/>
    <w:link w:val="FootnoteText"/>
    <w:uiPriority w:val="99"/>
    <w:semiHidden/>
    <w:rsid w:val="005C2223"/>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5C2223"/>
    <w:rPr>
      <w:vertAlign w:val="superscript"/>
    </w:rPr>
  </w:style>
  <w:style w:type="paragraph" w:customStyle="1" w:styleId="Bullets1">
    <w:name w:val="Bullets 1"/>
    <w:basedOn w:val="Normal"/>
    <w:qFormat/>
    <w:rsid w:val="007E7EB0"/>
    <w:pPr>
      <w:numPr>
        <w:numId w:val="15"/>
      </w:numPr>
      <w:spacing w:before="120" w:after="120" w:line="300" w:lineRule="auto"/>
      <w:jc w:val="left"/>
    </w:pPr>
    <w:rPr>
      <w:szCs w:val="20"/>
      <w:lang w:eastAsia="en-US"/>
    </w:rPr>
  </w:style>
  <w:style w:type="paragraph" w:customStyle="1" w:styleId="Bullets3">
    <w:name w:val="Bullets 3"/>
    <w:basedOn w:val="Normal"/>
    <w:qFormat/>
    <w:rsid w:val="007E7EB0"/>
    <w:pPr>
      <w:numPr>
        <w:ilvl w:val="2"/>
        <w:numId w:val="15"/>
      </w:numPr>
      <w:spacing w:before="120" w:after="120" w:line="300" w:lineRule="auto"/>
    </w:pPr>
    <w:rPr>
      <w:szCs w:val="20"/>
      <w:lang w:eastAsia="en-US"/>
    </w:rPr>
  </w:style>
  <w:style w:type="table" w:customStyle="1" w:styleId="GridTable7Colorful-Accent21">
    <w:name w:val="Grid Table 7 Colorful - Accent 21"/>
    <w:basedOn w:val="TableNormal"/>
    <w:uiPriority w:val="52"/>
    <w:rsid w:val="007E7EB0"/>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EndnoteText">
    <w:name w:val="endnote text"/>
    <w:basedOn w:val="Normal"/>
    <w:link w:val="EndnoteTextChar"/>
    <w:uiPriority w:val="99"/>
    <w:semiHidden/>
    <w:unhideWhenUsed/>
    <w:rsid w:val="00615DD6"/>
    <w:pPr>
      <w:spacing w:before="0"/>
    </w:pPr>
    <w:rPr>
      <w:szCs w:val="20"/>
    </w:rPr>
  </w:style>
  <w:style w:type="character" w:customStyle="1" w:styleId="EndnoteTextChar">
    <w:name w:val="Endnote Text Char"/>
    <w:basedOn w:val="DefaultParagraphFont"/>
    <w:link w:val="EndnoteText"/>
    <w:uiPriority w:val="99"/>
    <w:semiHidden/>
    <w:rsid w:val="00615DD6"/>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615DD6"/>
    <w:rPr>
      <w:vertAlign w:val="superscript"/>
    </w:rPr>
  </w:style>
  <w:style w:type="paragraph" w:customStyle="1" w:styleId="Disclaimer">
    <w:name w:val="Disclaimer"/>
    <w:basedOn w:val="Normal"/>
    <w:uiPriority w:val="2"/>
    <w:rsid w:val="00FE4F97"/>
    <w:pPr>
      <w:spacing w:before="0" w:after="60"/>
      <w:jc w:val="left"/>
    </w:pPr>
    <w:rPr>
      <w:rFonts w:eastAsiaTheme="minorHAnsi" w:cs="Arial"/>
      <w:sz w:val="16"/>
      <w:szCs w:val="16"/>
      <w:lang w:eastAsia="en-US"/>
    </w:rPr>
  </w:style>
  <w:style w:type="character" w:styleId="UnresolvedMention">
    <w:name w:val="Unresolved Mention"/>
    <w:basedOn w:val="DefaultParagraphFont"/>
    <w:uiPriority w:val="99"/>
    <w:semiHidden/>
    <w:unhideWhenUsed/>
    <w:rsid w:val="00917836"/>
    <w:rPr>
      <w:color w:val="605E5C"/>
      <w:shd w:val="clear" w:color="auto" w:fill="E1DFDD"/>
    </w:rPr>
  </w:style>
  <w:style w:type="paragraph" w:customStyle="1" w:styleId="Tableheaderrow">
    <w:name w:val="Table header row"/>
    <w:basedOn w:val="Normal"/>
    <w:link w:val="TableheaderrowChar"/>
    <w:qFormat/>
    <w:rsid w:val="009900C5"/>
    <w:pPr>
      <w:spacing w:before="0" w:after="120"/>
      <w:jc w:val="left"/>
    </w:pPr>
    <w:rPr>
      <w:rFonts w:eastAsiaTheme="minorHAnsi" w:cs="Arial"/>
      <w:b/>
      <w:color w:val="FFFFFF" w:themeColor="background1"/>
      <w:sz w:val="18"/>
      <w:szCs w:val="18"/>
      <w:lang w:eastAsia="en-US"/>
    </w:rPr>
  </w:style>
  <w:style w:type="character" w:customStyle="1" w:styleId="TableheaderrowChar">
    <w:name w:val="Table header row Char"/>
    <w:basedOn w:val="DefaultParagraphFont"/>
    <w:link w:val="Tableheaderrow"/>
    <w:rsid w:val="009900C5"/>
    <w:rPr>
      <w:rFonts w:ascii="Arial" w:hAnsi="Arial" w:cs="Arial"/>
      <w:b/>
      <w:color w:val="FFFFFF" w:themeColor="background1"/>
      <w:sz w:val="18"/>
      <w:szCs w:val="18"/>
    </w:rPr>
  </w:style>
  <w:style w:type="character" w:customStyle="1" w:styleId="normaltextrun">
    <w:name w:val="normaltextrun"/>
    <w:basedOn w:val="DefaultParagraphFont"/>
    <w:rsid w:val="003D5623"/>
  </w:style>
  <w:style w:type="character" w:customStyle="1" w:styleId="eop">
    <w:name w:val="eop"/>
    <w:basedOn w:val="DefaultParagraphFont"/>
    <w:rsid w:val="003D5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8146">
      <w:bodyDiv w:val="1"/>
      <w:marLeft w:val="0"/>
      <w:marRight w:val="0"/>
      <w:marTop w:val="0"/>
      <w:marBottom w:val="0"/>
      <w:divBdr>
        <w:top w:val="none" w:sz="0" w:space="0" w:color="auto"/>
        <w:left w:val="none" w:sz="0" w:space="0" w:color="auto"/>
        <w:bottom w:val="none" w:sz="0" w:space="0" w:color="auto"/>
        <w:right w:val="none" w:sz="0" w:space="0" w:color="auto"/>
      </w:divBdr>
    </w:div>
    <w:div w:id="11956013">
      <w:bodyDiv w:val="1"/>
      <w:marLeft w:val="0"/>
      <w:marRight w:val="0"/>
      <w:marTop w:val="0"/>
      <w:marBottom w:val="0"/>
      <w:divBdr>
        <w:top w:val="none" w:sz="0" w:space="0" w:color="auto"/>
        <w:left w:val="none" w:sz="0" w:space="0" w:color="auto"/>
        <w:bottom w:val="none" w:sz="0" w:space="0" w:color="auto"/>
        <w:right w:val="none" w:sz="0" w:space="0" w:color="auto"/>
      </w:divBdr>
    </w:div>
    <w:div w:id="72237884">
      <w:bodyDiv w:val="1"/>
      <w:marLeft w:val="0"/>
      <w:marRight w:val="0"/>
      <w:marTop w:val="0"/>
      <w:marBottom w:val="0"/>
      <w:divBdr>
        <w:top w:val="none" w:sz="0" w:space="0" w:color="auto"/>
        <w:left w:val="none" w:sz="0" w:space="0" w:color="auto"/>
        <w:bottom w:val="none" w:sz="0" w:space="0" w:color="auto"/>
        <w:right w:val="none" w:sz="0" w:space="0" w:color="auto"/>
      </w:divBdr>
    </w:div>
    <w:div w:id="94520526">
      <w:bodyDiv w:val="1"/>
      <w:marLeft w:val="0"/>
      <w:marRight w:val="0"/>
      <w:marTop w:val="0"/>
      <w:marBottom w:val="0"/>
      <w:divBdr>
        <w:top w:val="none" w:sz="0" w:space="0" w:color="auto"/>
        <w:left w:val="none" w:sz="0" w:space="0" w:color="auto"/>
        <w:bottom w:val="none" w:sz="0" w:space="0" w:color="auto"/>
        <w:right w:val="none" w:sz="0" w:space="0" w:color="auto"/>
      </w:divBdr>
    </w:div>
    <w:div w:id="150216786">
      <w:bodyDiv w:val="1"/>
      <w:marLeft w:val="0"/>
      <w:marRight w:val="0"/>
      <w:marTop w:val="0"/>
      <w:marBottom w:val="0"/>
      <w:divBdr>
        <w:top w:val="none" w:sz="0" w:space="0" w:color="auto"/>
        <w:left w:val="none" w:sz="0" w:space="0" w:color="auto"/>
        <w:bottom w:val="none" w:sz="0" w:space="0" w:color="auto"/>
        <w:right w:val="none" w:sz="0" w:space="0" w:color="auto"/>
      </w:divBdr>
    </w:div>
    <w:div w:id="159002292">
      <w:bodyDiv w:val="1"/>
      <w:marLeft w:val="0"/>
      <w:marRight w:val="0"/>
      <w:marTop w:val="0"/>
      <w:marBottom w:val="0"/>
      <w:divBdr>
        <w:top w:val="none" w:sz="0" w:space="0" w:color="auto"/>
        <w:left w:val="none" w:sz="0" w:space="0" w:color="auto"/>
        <w:bottom w:val="none" w:sz="0" w:space="0" w:color="auto"/>
        <w:right w:val="none" w:sz="0" w:space="0" w:color="auto"/>
      </w:divBdr>
    </w:div>
    <w:div w:id="186018276">
      <w:bodyDiv w:val="1"/>
      <w:marLeft w:val="0"/>
      <w:marRight w:val="0"/>
      <w:marTop w:val="0"/>
      <w:marBottom w:val="0"/>
      <w:divBdr>
        <w:top w:val="none" w:sz="0" w:space="0" w:color="auto"/>
        <w:left w:val="none" w:sz="0" w:space="0" w:color="auto"/>
        <w:bottom w:val="none" w:sz="0" w:space="0" w:color="auto"/>
        <w:right w:val="none" w:sz="0" w:space="0" w:color="auto"/>
      </w:divBdr>
    </w:div>
    <w:div w:id="191457314">
      <w:bodyDiv w:val="1"/>
      <w:marLeft w:val="0"/>
      <w:marRight w:val="0"/>
      <w:marTop w:val="0"/>
      <w:marBottom w:val="0"/>
      <w:divBdr>
        <w:top w:val="none" w:sz="0" w:space="0" w:color="auto"/>
        <w:left w:val="none" w:sz="0" w:space="0" w:color="auto"/>
        <w:bottom w:val="none" w:sz="0" w:space="0" w:color="auto"/>
        <w:right w:val="none" w:sz="0" w:space="0" w:color="auto"/>
      </w:divBdr>
    </w:div>
    <w:div w:id="199635076">
      <w:bodyDiv w:val="1"/>
      <w:marLeft w:val="0"/>
      <w:marRight w:val="0"/>
      <w:marTop w:val="0"/>
      <w:marBottom w:val="0"/>
      <w:divBdr>
        <w:top w:val="none" w:sz="0" w:space="0" w:color="auto"/>
        <w:left w:val="none" w:sz="0" w:space="0" w:color="auto"/>
        <w:bottom w:val="none" w:sz="0" w:space="0" w:color="auto"/>
        <w:right w:val="none" w:sz="0" w:space="0" w:color="auto"/>
      </w:divBdr>
    </w:div>
    <w:div w:id="232860431">
      <w:bodyDiv w:val="1"/>
      <w:marLeft w:val="0"/>
      <w:marRight w:val="0"/>
      <w:marTop w:val="0"/>
      <w:marBottom w:val="0"/>
      <w:divBdr>
        <w:top w:val="none" w:sz="0" w:space="0" w:color="auto"/>
        <w:left w:val="none" w:sz="0" w:space="0" w:color="auto"/>
        <w:bottom w:val="none" w:sz="0" w:space="0" w:color="auto"/>
        <w:right w:val="none" w:sz="0" w:space="0" w:color="auto"/>
      </w:divBdr>
    </w:div>
    <w:div w:id="261382807">
      <w:bodyDiv w:val="1"/>
      <w:marLeft w:val="0"/>
      <w:marRight w:val="0"/>
      <w:marTop w:val="0"/>
      <w:marBottom w:val="0"/>
      <w:divBdr>
        <w:top w:val="none" w:sz="0" w:space="0" w:color="auto"/>
        <w:left w:val="none" w:sz="0" w:space="0" w:color="auto"/>
        <w:bottom w:val="none" w:sz="0" w:space="0" w:color="auto"/>
        <w:right w:val="none" w:sz="0" w:space="0" w:color="auto"/>
      </w:divBdr>
    </w:div>
    <w:div w:id="339086452">
      <w:bodyDiv w:val="1"/>
      <w:marLeft w:val="0"/>
      <w:marRight w:val="0"/>
      <w:marTop w:val="0"/>
      <w:marBottom w:val="0"/>
      <w:divBdr>
        <w:top w:val="none" w:sz="0" w:space="0" w:color="auto"/>
        <w:left w:val="none" w:sz="0" w:space="0" w:color="auto"/>
        <w:bottom w:val="none" w:sz="0" w:space="0" w:color="auto"/>
        <w:right w:val="none" w:sz="0" w:space="0" w:color="auto"/>
      </w:divBdr>
    </w:div>
    <w:div w:id="352341446">
      <w:bodyDiv w:val="1"/>
      <w:marLeft w:val="0"/>
      <w:marRight w:val="0"/>
      <w:marTop w:val="0"/>
      <w:marBottom w:val="0"/>
      <w:divBdr>
        <w:top w:val="none" w:sz="0" w:space="0" w:color="auto"/>
        <w:left w:val="none" w:sz="0" w:space="0" w:color="auto"/>
        <w:bottom w:val="none" w:sz="0" w:space="0" w:color="auto"/>
        <w:right w:val="none" w:sz="0" w:space="0" w:color="auto"/>
      </w:divBdr>
    </w:div>
    <w:div w:id="355084022">
      <w:bodyDiv w:val="1"/>
      <w:marLeft w:val="0"/>
      <w:marRight w:val="0"/>
      <w:marTop w:val="0"/>
      <w:marBottom w:val="0"/>
      <w:divBdr>
        <w:top w:val="none" w:sz="0" w:space="0" w:color="auto"/>
        <w:left w:val="none" w:sz="0" w:space="0" w:color="auto"/>
        <w:bottom w:val="none" w:sz="0" w:space="0" w:color="auto"/>
        <w:right w:val="none" w:sz="0" w:space="0" w:color="auto"/>
      </w:divBdr>
    </w:div>
    <w:div w:id="382950710">
      <w:bodyDiv w:val="1"/>
      <w:marLeft w:val="0"/>
      <w:marRight w:val="0"/>
      <w:marTop w:val="0"/>
      <w:marBottom w:val="0"/>
      <w:divBdr>
        <w:top w:val="none" w:sz="0" w:space="0" w:color="auto"/>
        <w:left w:val="none" w:sz="0" w:space="0" w:color="auto"/>
        <w:bottom w:val="none" w:sz="0" w:space="0" w:color="auto"/>
        <w:right w:val="none" w:sz="0" w:space="0" w:color="auto"/>
      </w:divBdr>
    </w:div>
    <w:div w:id="396124649">
      <w:bodyDiv w:val="1"/>
      <w:marLeft w:val="0"/>
      <w:marRight w:val="0"/>
      <w:marTop w:val="0"/>
      <w:marBottom w:val="0"/>
      <w:divBdr>
        <w:top w:val="none" w:sz="0" w:space="0" w:color="auto"/>
        <w:left w:val="none" w:sz="0" w:space="0" w:color="auto"/>
        <w:bottom w:val="none" w:sz="0" w:space="0" w:color="auto"/>
        <w:right w:val="none" w:sz="0" w:space="0" w:color="auto"/>
      </w:divBdr>
    </w:div>
    <w:div w:id="470367121">
      <w:bodyDiv w:val="1"/>
      <w:marLeft w:val="0"/>
      <w:marRight w:val="0"/>
      <w:marTop w:val="0"/>
      <w:marBottom w:val="0"/>
      <w:divBdr>
        <w:top w:val="none" w:sz="0" w:space="0" w:color="auto"/>
        <w:left w:val="none" w:sz="0" w:space="0" w:color="auto"/>
        <w:bottom w:val="none" w:sz="0" w:space="0" w:color="auto"/>
        <w:right w:val="none" w:sz="0" w:space="0" w:color="auto"/>
      </w:divBdr>
    </w:div>
    <w:div w:id="491027518">
      <w:bodyDiv w:val="1"/>
      <w:marLeft w:val="0"/>
      <w:marRight w:val="0"/>
      <w:marTop w:val="0"/>
      <w:marBottom w:val="0"/>
      <w:divBdr>
        <w:top w:val="none" w:sz="0" w:space="0" w:color="auto"/>
        <w:left w:val="none" w:sz="0" w:space="0" w:color="auto"/>
        <w:bottom w:val="none" w:sz="0" w:space="0" w:color="auto"/>
        <w:right w:val="none" w:sz="0" w:space="0" w:color="auto"/>
      </w:divBdr>
    </w:div>
    <w:div w:id="532421777">
      <w:bodyDiv w:val="1"/>
      <w:marLeft w:val="0"/>
      <w:marRight w:val="0"/>
      <w:marTop w:val="0"/>
      <w:marBottom w:val="0"/>
      <w:divBdr>
        <w:top w:val="none" w:sz="0" w:space="0" w:color="auto"/>
        <w:left w:val="none" w:sz="0" w:space="0" w:color="auto"/>
        <w:bottom w:val="none" w:sz="0" w:space="0" w:color="auto"/>
        <w:right w:val="none" w:sz="0" w:space="0" w:color="auto"/>
      </w:divBdr>
    </w:div>
    <w:div w:id="542136801">
      <w:bodyDiv w:val="1"/>
      <w:marLeft w:val="0"/>
      <w:marRight w:val="0"/>
      <w:marTop w:val="0"/>
      <w:marBottom w:val="0"/>
      <w:divBdr>
        <w:top w:val="none" w:sz="0" w:space="0" w:color="auto"/>
        <w:left w:val="none" w:sz="0" w:space="0" w:color="auto"/>
        <w:bottom w:val="none" w:sz="0" w:space="0" w:color="auto"/>
        <w:right w:val="none" w:sz="0" w:space="0" w:color="auto"/>
      </w:divBdr>
    </w:div>
    <w:div w:id="547498583">
      <w:bodyDiv w:val="1"/>
      <w:marLeft w:val="0"/>
      <w:marRight w:val="0"/>
      <w:marTop w:val="0"/>
      <w:marBottom w:val="0"/>
      <w:divBdr>
        <w:top w:val="none" w:sz="0" w:space="0" w:color="auto"/>
        <w:left w:val="none" w:sz="0" w:space="0" w:color="auto"/>
        <w:bottom w:val="none" w:sz="0" w:space="0" w:color="auto"/>
        <w:right w:val="none" w:sz="0" w:space="0" w:color="auto"/>
      </w:divBdr>
    </w:div>
    <w:div w:id="564337135">
      <w:bodyDiv w:val="1"/>
      <w:marLeft w:val="0"/>
      <w:marRight w:val="0"/>
      <w:marTop w:val="0"/>
      <w:marBottom w:val="0"/>
      <w:divBdr>
        <w:top w:val="none" w:sz="0" w:space="0" w:color="auto"/>
        <w:left w:val="none" w:sz="0" w:space="0" w:color="auto"/>
        <w:bottom w:val="none" w:sz="0" w:space="0" w:color="auto"/>
        <w:right w:val="none" w:sz="0" w:space="0" w:color="auto"/>
      </w:divBdr>
    </w:div>
    <w:div w:id="570695198">
      <w:bodyDiv w:val="1"/>
      <w:marLeft w:val="0"/>
      <w:marRight w:val="0"/>
      <w:marTop w:val="0"/>
      <w:marBottom w:val="0"/>
      <w:divBdr>
        <w:top w:val="none" w:sz="0" w:space="0" w:color="auto"/>
        <w:left w:val="none" w:sz="0" w:space="0" w:color="auto"/>
        <w:bottom w:val="none" w:sz="0" w:space="0" w:color="auto"/>
        <w:right w:val="none" w:sz="0" w:space="0" w:color="auto"/>
      </w:divBdr>
    </w:div>
    <w:div w:id="570848303">
      <w:bodyDiv w:val="1"/>
      <w:marLeft w:val="0"/>
      <w:marRight w:val="0"/>
      <w:marTop w:val="0"/>
      <w:marBottom w:val="0"/>
      <w:divBdr>
        <w:top w:val="none" w:sz="0" w:space="0" w:color="auto"/>
        <w:left w:val="none" w:sz="0" w:space="0" w:color="auto"/>
        <w:bottom w:val="none" w:sz="0" w:space="0" w:color="auto"/>
        <w:right w:val="none" w:sz="0" w:space="0" w:color="auto"/>
      </w:divBdr>
    </w:div>
    <w:div w:id="615215309">
      <w:bodyDiv w:val="1"/>
      <w:marLeft w:val="0"/>
      <w:marRight w:val="0"/>
      <w:marTop w:val="0"/>
      <w:marBottom w:val="0"/>
      <w:divBdr>
        <w:top w:val="none" w:sz="0" w:space="0" w:color="auto"/>
        <w:left w:val="none" w:sz="0" w:space="0" w:color="auto"/>
        <w:bottom w:val="none" w:sz="0" w:space="0" w:color="auto"/>
        <w:right w:val="none" w:sz="0" w:space="0" w:color="auto"/>
      </w:divBdr>
    </w:div>
    <w:div w:id="615403961">
      <w:bodyDiv w:val="1"/>
      <w:marLeft w:val="0"/>
      <w:marRight w:val="0"/>
      <w:marTop w:val="0"/>
      <w:marBottom w:val="0"/>
      <w:divBdr>
        <w:top w:val="none" w:sz="0" w:space="0" w:color="auto"/>
        <w:left w:val="none" w:sz="0" w:space="0" w:color="auto"/>
        <w:bottom w:val="none" w:sz="0" w:space="0" w:color="auto"/>
        <w:right w:val="none" w:sz="0" w:space="0" w:color="auto"/>
      </w:divBdr>
    </w:div>
    <w:div w:id="639306560">
      <w:bodyDiv w:val="1"/>
      <w:marLeft w:val="0"/>
      <w:marRight w:val="0"/>
      <w:marTop w:val="0"/>
      <w:marBottom w:val="0"/>
      <w:divBdr>
        <w:top w:val="none" w:sz="0" w:space="0" w:color="auto"/>
        <w:left w:val="none" w:sz="0" w:space="0" w:color="auto"/>
        <w:bottom w:val="none" w:sz="0" w:space="0" w:color="auto"/>
        <w:right w:val="none" w:sz="0" w:space="0" w:color="auto"/>
      </w:divBdr>
    </w:div>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740365995">
      <w:bodyDiv w:val="1"/>
      <w:marLeft w:val="0"/>
      <w:marRight w:val="0"/>
      <w:marTop w:val="0"/>
      <w:marBottom w:val="0"/>
      <w:divBdr>
        <w:top w:val="none" w:sz="0" w:space="0" w:color="auto"/>
        <w:left w:val="none" w:sz="0" w:space="0" w:color="auto"/>
        <w:bottom w:val="none" w:sz="0" w:space="0" w:color="auto"/>
        <w:right w:val="none" w:sz="0" w:space="0" w:color="auto"/>
      </w:divBdr>
    </w:div>
    <w:div w:id="748309992">
      <w:bodyDiv w:val="1"/>
      <w:marLeft w:val="0"/>
      <w:marRight w:val="0"/>
      <w:marTop w:val="0"/>
      <w:marBottom w:val="0"/>
      <w:divBdr>
        <w:top w:val="none" w:sz="0" w:space="0" w:color="auto"/>
        <w:left w:val="none" w:sz="0" w:space="0" w:color="auto"/>
        <w:bottom w:val="none" w:sz="0" w:space="0" w:color="auto"/>
        <w:right w:val="none" w:sz="0" w:space="0" w:color="auto"/>
      </w:divBdr>
    </w:div>
    <w:div w:id="819346782">
      <w:bodyDiv w:val="1"/>
      <w:marLeft w:val="0"/>
      <w:marRight w:val="0"/>
      <w:marTop w:val="0"/>
      <w:marBottom w:val="0"/>
      <w:divBdr>
        <w:top w:val="none" w:sz="0" w:space="0" w:color="auto"/>
        <w:left w:val="none" w:sz="0" w:space="0" w:color="auto"/>
        <w:bottom w:val="none" w:sz="0" w:space="0" w:color="auto"/>
        <w:right w:val="none" w:sz="0" w:space="0" w:color="auto"/>
      </w:divBdr>
    </w:div>
    <w:div w:id="874463417">
      <w:bodyDiv w:val="1"/>
      <w:marLeft w:val="0"/>
      <w:marRight w:val="0"/>
      <w:marTop w:val="0"/>
      <w:marBottom w:val="0"/>
      <w:divBdr>
        <w:top w:val="none" w:sz="0" w:space="0" w:color="auto"/>
        <w:left w:val="none" w:sz="0" w:space="0" w:color="auto"/>
        <w:bottom w:val="none" w:sz="0" w:space="0" w:color="auto"/>
        <w:right w:val="none" w:sz="0" w:space="0" w:color="auto"/>
      </w:divBdr>
    </w:div>
    <w:div w:id="904560043">
      <w:bodyDiv w:val="1"/>
      <w:marLeft w:val="0"/>
      <w:marRight w:val="0"/>
      <w:marTop w:val="0"/>
      <w:marBottom w:val="0"/>
      <w:divBdr>
        <w:top w:val="none" w:sz="0" w:space="0" w:color="auto"/>
        <w:left w:val="none" w:sz="0" w:space="0" w:color="auto"/>
        <w:bottom w:val="none" w:sz="0" w:space="0" w:color="auto"/>
        <w:right w:val="none" w:sz="0" w:space="0" w:color="auto"/>
      </w:divBdr>
    </w:div>
    <w:div w:id="986780895">
      <w:bodyDiv w:val="1"/>
      <w:marLeft w:val="0"/>
      <w:marRight w:val="0"/>
      <w:marTop w:val="0"/>
      <w:marBottom w:val="0"/>
      <w:divBdr>
        <w:top w:val="none" w:sz="0" w:space="0" w:color="auto"/>
        <w:left w:val="none" w:sz="0" w:space="0" w:color="auto"/>
        <w:bottom w:val="none" w:sz="0" w:space="0" w:color="auto"/>
        <w:right w:val="none" w:sz="0" w:space="0" w:color="auto"/>
      </w:divBdr>
    </w:div>
    <w:div w:id="1034769679">
      <w:bodyDiv w:val="1"/>
      <w:marLeft w:val="0"/>
      <w:marRight w:val="0"/>
      <w:marTop w:val="0"/>
      <w:marBottom w:val="0"/>
      <w:divBdr>
        <w:top w:val="none" w:sz="0" w:space="0" w:color="auto"/>
        <w:left w:val="none" w:sz="0" w:space="0" w:color="auto"/>
        <w:bottom w:val="none" w:sz="0" w:space="0" w:color="auto"/>
        <w:right w:val="none" w:sz="0" w:space="0" w:color="auto"/>
      </w:divBdr>
    </w:div>
    <w:div w:id="1053770156">
      <w:bodyDiv w:val="1"/>
      <w:marLeft w:val="0"/>
      <w:marRight w:val="0"/>
      <w:marTop w:val="0"/>
      <w:marBottom w:val="0"/>
      <w:divBdr>
        <w:top w:val="none" w:sz="0" w:space="0" w:color="auto"/>
        <w:left w:val="none" w:sz="0" w:space="0" w:color="auto"/>
        <w:bottom w:val="none" w:sz="0" w:space="0" w:color="auto"/>
        <w:right w:val="none" w:sz="0" w:space="0" w:color="auto"/>
      </w:divBdr>
    </w:div>
    <w:div w:id="1065298855">
      <w:bodyDiv w:val="1"/>
      <w:marLeft w:val="0"/>
      <w:marRight w:val="0"/>
      <w:marTop w:val="0"/>
      <w:marBottom w:val="0"/>
      <w:divBdr>
        <w:top w:val="none" w:sz="0" w:space="0" w:color="auto"/>
        <w:left w:val="none" w:sz="0" w:space="0" w:color="auto"/>
        <w:bottom w:val="none" w:sz="0" w:space="0" w:color="auto"/>
        <w:right w:val="none" w:sz="0" w:space="0" w:color="auto"/>
      </w:divBdr>
    </w:div>
    <w:div w:id="1099257609">
      <w:bodyDiv w:val="1"/>
      <w:marLeft w:val="0"/>
      <w:marRight w:val="0"/>
      <w:marTop w:val="0"/>
      <w:marBottom w:val="0"/>
      <w:divBdr>
        <w:top w:val="none" w:sz="0" w:space="0" w:color="auto"/>
        <w:left w:val="none" w:sz="0" w:space="0" w:color="auto"/>
        <w:bottom w:val="none" w:sz="0" w:space="0" w:color="auto"/>
        <w:right w:val="none" w:sz="0" w:space="0" w:color="auto"/>
      </w:divBdr>
    </w:div>
    <w:div w:id="1115634227">
      <w:bodyDiv w:val="1"/>
      <w:marLeft w:val="0"/>
      <w:marRight w:val="0"/>
      <w:marTop w:val="0"/>
      <w:marBottom w:val="0"/>
      <w:divBdr>
        <w:top w:val="none" w:sz="0" w:space="0" w:color="auto"/>
        <w:left w:val="none" w:sz="0" w:space="0" w:color="auto"/>
        <w:bottom w:val="none" w:sz="0" w:space="0" w:color="auto"/>
        <w:right w:val="none" w:sz="0" w:space="0" w:color="auto"/>
      </w:divBdr>
    </w:div>
    <w:div w:id="1136334191">
      <w:bodyDiv w:val="1"/>
      <w:marLeft w:val="0"/>
      <w:marRight w:val="0"/>
      <w:marTop w:val="0"/>
      <w:marBottom w:val="0"/>
      <w:divBdr>
        <w:top w:val="none" w:sz="0" w:space="0" w:color="auto"/>
        <w:left w:val="none" w:sz="0" w:space="0" w:color="auto"/>
        <w:bottom w:val="none" w:sz="0" w:space="0" w:color="auto"/>
        <w:right w:val="none" w:sz="0" w:space="0" w:color="auto"/>
      </w:divBdr>
    </w:div>
    <w:div w:id="1137994254">
      <w:bodyDiv w:val="1"/>
      <w:marLeft w:val="0"/>
      <w:marRight w:val="0"/>
      <w:marTop w:val="0"/>
      <w:marBottom w:val="0"/>
      <w:divBdr>
        <w:top w:val="none" w:sz="0" w:space="0" w:color="auto"/>
        <w:left w:val="none" w:sz="0" w:space="0" w:color="auto"/>
        <w:bottom w:val="none" w:sz="0" w:space="0" w:color="auto"/>
        <w:right w:val="none" w:sz="0" w:space="0" w:color="auto"/>
      </w:divBdr>
    </w:div>
    <w:div w:id="1144079857">
      <w:bodyDiv w:val="1"/>
      <w:marLeft w:val="0"/>
      <w:marRight w:val="0"/>
      <w:marTop w:val="0"/>
      <w:marBottom w:val="0"/>
      <w:divBdr>
        <w:top w:val="none" w:sz="0" w:space="0" w:color="auto"/>
        <w:left w:val="none" w:sz="0" w:space="0" w:color="auto"/>
        <w:bottom w:val="none" w:sz="0" w:space="0" w:color="auto"/>
        <w:right w:val="none" w:sz="0" w:space="0" w:color="auto"/>
      </w:divBdr>
    </w:div>
    <w:div w:id="1170750304">
      <w:bodyDiv w:val="1"/>
      <w:marLeft w:val="0"/>
      <w:marRight w:val="0"/>
      <w:marTop w:val="0"/>
      <w:marBottom w:val="0"/>
      <w:divBdr>
        <w:top w:val="none" w:sz="0" w:space="0" w:color="auto"/>
        <w:left w:val="none" w:sz="0" w:space="0" w:color="auto"/>
        <w:bottom w:val="none" w:sz="0" w:space="0" w:color="auto"/>
        <w:right w:val="none" w:sz="0" w:space="0" w:color="auto"/>
      </w:divBdr>
    </w:div>
    <w:div w:id="1206210295">
      <w:bodyDiv w:val="1"/>
      <w:marLeft w:val="0"/>
      <w:marRight w:val="0"/>
      <w:marTop w:val="0"/>
      <w:marBottom w:val="0"/>
      <w:divBdr>
        <w:top w:val="none" w:sz="0" w:space="0" w:color="auto"/>
        <w:left w:val="none" w:sz="0" w:space="0" w:color="auto"/>
        <w:bottom w:val="none" w:sz="0" w:space="0" w:color="auto"/>
        <w:right w:val="none" w:sz="0" w:space="0" w:color="auto"/>
      </w:divBdr>
    </w:div>
    <w:div w:id="1222981525">
      <w:bodyDiv w:val="1"/>
      <w:marLeft w:val="0"/>
      <w:marRight w:val="0"/>
      <w:marTop w:val="0"/>
      <w:marBottom w:val="0"/>
      <w:divBdr>
        <w:top w:val="none" w:sz="0" w:space="0" w:color="auto"/>
        <w:left w:val="none" w:sz="0" w:space="0" w:color="auto"/>
        <w:bottom w:val="none" w:sz="0" w:space="0" w:color="auto"/>
        <w:right w:val="none" w:sz="0" w:space="0" w:color="auto"/>
      </w:divBdr>
    </w:div>
    <w:div w:id="1225407628">
      <w:bodyDiv w:val="1"/>
      <w:marLeft w:val="0"/>
      <w:marRight w:val="0"/>
      <w:marTop w:val="0"/>
      <w:marBottom w:val="0"/>
      <w:divBdr>
        <w:top w:val="none" w:sz="0" w:space="0" w:color="auto"/>
        <w:left w:val="none" w:sz="0" w:space="0" w:color="auto"/>
        <w:bottom w:val="none" w:sz="0" w:space="0" w:color="auto"/>
        <w:right w:val="none" w:sz="0" w:space="0" w:color="auto"/>
      </w:divBdr>
    </w:div>
    <w:div w:id="1272317467">
      <w:bodyDiv w:val="1"/>
      <w:marLeft w:val="0"/>
      <w:marRight w:val="0"/>
      <w:marTop w:val="0"/>
      <w:marBottom w:val="0"/>
      <w:divBdr>
        <w:top w:val="none" w:sz="0" w:space="0" w:color="auto"/>
        <w:left w:val="none" w:sz="0" w:space="0" w:color="auto"/>
        <w:bottom w:val="none" w:sz="0" w:space="0" w:color="auto"/>
        <w:right w:val="none" w:sz="0" w:space="0" w:color="auto"/>
      </w:divBdr>
    </w:div>
    <w:div w:id="1278835612">
      <w:bodyDiv w:val="1"/>
      <w:marLeft w:val="0"/>
      <w:marRight w:val="0"/>
      <w:marTop w:val="0"/>
      <w:marBottom w:val="0"/>
      <w:divBdr>
        <w:top w:val="none" w:sz="0" w:space="0" w:color="auto"/>
        <w:left w:val="none" w:sz="0" w:space="0" w:color="auto"/>
        <w:bottom w:val="none" w:sz="0" w:space="0" w:color="auto"/>
        <w:right w:val="none" w:sz="0" w:space="0" w:color="auto"/>
      </w:divBdr>
    </w:div>
    <w:div w:id="1377780000">
      <w:bodyDiv w:val="1"/>
      <w:marLeft w:val="0"/>
      <w:marRight w:val="0"/>
      <w:marTop w:val="0"/>
      <w:marBottom w:val="0"/>
      <w:divBdr>
        <w:top w:val="none" w:sz="0" w:space="0" w:color="auto"/>
        <w:left w:val="none" w:sz="0" w:space="0" w:color="auto"/>
        <w:bottom w:val="none" w:sz="0" w:space="0" w:color="auto"/>
        <w:right w:val="none" w:sz="0" w:space="0" w:color="auto"/>
      </w:divBdr>
    </w:div>
    <w:div w:id="1390570422">
      <w:bodyDiv w:val="1"/>
      <w:marLeft w:val="0"/>
      <w:marRight w:val="0"/>
      <w:marTop w:val="0"/>
      <w:marBottom w:val="0"/>
      <w:divBdr>
        <w:top w:val="none" w:sz="0" w:space="0" w:color="auto"/>
        <w:left w:val="none" w:sz="0" w:space="0" w:color="auto"/>
        <w:bottom w:val="none" w:sz="0" w:space="0" w:color="auto"/>
        <w:right w:val="none" w:sz="0" w:space="0" w:color="auto"/>
      </w:divBdr>
    </w:div>
    <w:div w:id="1434012805">
      <w:bodyDiv w:val="1"/>
      <w:marLeft w:val="0"/>
      <w:marRight w:val="0"/>
      <w:marTop w:val="0"/>
      <w:marBottom w:val="0"/>
      <w:divBdr>
        <w:top w:val="none" w:sz="0" w:space="0" w:color="auto"/>
        <w:left w:val="none" w:sz="0" w:space="0" w:color="auto"/>
        <w:bottom w:val="none" w:sz="0" w:space="0" w:color="auto"/>
        <w:right w:val="none" w:sz="0" w:space="0" w:color="auto"/>
      </w:divBdr>
    </w:div>
    <w:div w:id="1436710275">
      <w:bodyDiv w:val="1"/>
      <w:marLeft w:val="0"/>
      <w:marRight w:val="0"/>
      <w:marTop w:val="0"/>
      <w:marBottom w:val="0"/>
      <w:divBdr>
        <w:top w:val="none" w:sz="0" w:space="0" w:color="auto"/>
        <w:left w:val="none" w:sz="0" w:space="0" w:color="auto"/>
        <w:bottom w:val="none" w:sz="0" w:space="0" w:color="auto"/>
        <w:right w:val="none" w:sz="0" w:space="0" w:color="auto"/>
      </w:divBdr>
    </w:div>
    <w:div w:id="1521430754">
      <w:bodyDiv w:val="1"/>
      <w:marLeft w:val="0"/>
      <w:marRight w:val="0"/>
      <w:marTop w:val="0"/>
      <w:marBottom w:val="0"/>
      <w:divBdr>
        <w:top w:val="none" w:sz="0" w:space="0" w:color="auto"/>
        <w:left w:val="none" w:sz="0" w:space="0" w:color="auto"/>
        <w:bottom w:val="none" w:sz="0" w:space="0" w:color="auto"/>
        <w:right w:val="none" w:sz="0" w:space="0" w:color="auto"/>
      </w:divBdr>
    </w:div>
    <w:div w:id="1524512202">
      <w:bodyDiv w:val="1"/>
      <w:marLeft w:val="0"/>
      <w:marRight w:val="0"/>
      <w:marTop w:val="0"/>
      <w:marBottom w:val="0"/>
      <w:divBdr>
        <w:top w:val="none" w:sz="0" w:space="0" w:color="auto"/>
        <w:left w:val="none" w:sz="0" w:space="0" w:color="auto"/>
        <w:bottom w:val="none" w:sz="0" w:space="0" w:color="auto"/>
        <w:right w:val="none" w:sz="0" w:space="0" w:color="auto"/>
      </w:divBdr>
    </w:div>
    <w:div w:id="1535462898">
      <w:bodyDiv w:val="1"/>
      <w:marLeft w:val="0"/>
      <w:marRight w:val="0"/>
      <w:marTop w:val="0"/>
      <w:marBottom w:val="0"/>
      <w:divBdr>
        <w:top w:val="none" w:sz="0" w:space="0" w:color="auto"/>
        <w:left w:val="none" w:sz="0" w:space="0" w:color="auto"/>
        <w:bottom w:val="none" w:sz="0" w:space="0" w:color="auto"/>
        <w:right w:val="none" w:sz="0" w:space="0" w:color="auto"/>
      </w:divBdr>
    </w:div>
    <w:div w:id="1593511168">
      <w:bodyDiv w:val="1"/>
      <w:marLeft w:val="0"/>
      <w:marRight w:val="0"/>
      <w:marTop w:val="0"/>
      <w:marBottom w:val="0"/>
      <w:divBdr>
        <w:top w:val="none" w:sz="0" w:space="0" w:color="auto"/>
        <w:left w:val="none" w:sz="0" w:space="0" w:color="auto"/>
        <w:bottom w:val="none" w:sz="0" w:space="0" w:color="auto"/>
        <w:right w:val="none" w:sz="0" w:space="0" w:color="auto"/>
      </w:divBdr>
    </w:div>
    <w:div w:id="1610120728">
      <w:bodyDiv w:val="1"/>
      <w:marLeft w:val="0"/>
      <w:marRight w:val="0"/>
      <w:marTop w:val="0"/>
      <w:marBottom w:val="0"/>
      <w:divBdr>
        <w:top w:val="none" w:sz="0" w:space="0" w:color="auto"/>
        <w:left w:val="none" w:sz="0" w:space="0" w:color="auto"/>
        <w:bottom w:val="none" w:sz="0" w:space="0" w:color="auto"/>
        <w:right w:val="none" w:sz="0" w:space="0" w:color="auto"/>
      </w:divBdr>
    </w:div>
    <w:div w:id="1627392297">
      <w:bodyDiv w:val="1"/>
      <w:marLeft w:val="0"/>
      <w:marRight w:val="0"/>
      <w:marTop w:val="0"/>
      <w:marBottom w:val="0"/>
      <w:divBdr>
        <w:top w:val="none" w:sz="0" w:space="0" w:color="auto"/>
        <w:left w:val="none" w:sz="0" w:space="0" w:color="auto"/>
        <w:bottom w:val="none" w:sz="0" w:space="0" w:color="auto"/>
        <w:right w:val="none" w:sz="0" w:space="0" w:color="auto"/>
      </w:divBdr>
    </w:div>
    <w:div w:id="1636834751">
      <w:bodyDiv w:val="1"/>
      <w:marLeft w:val="0"/>
      <w:marRight w:val="0"/>
      <w:marTop w:val="0"/>
      <w:marBottom w:val="0"/>
      <w:divBdr>
        <w:top w:val="none" w:sz="0" w:space="0" w:color="auto"/>
        <w:left w:val="none" w:sz="0" w:space="0" w:color="auto"/>
        <w:bottom w:val="none" w:sz="0" w:space="0" w:color="auto"/>
        <w:right w:val="none" w:sz="0" w:space="0" w:color="auto"/>
      </w:divBdr>
    </w:div>
    <w:div w:id="1643267428">
      <w:bodyDiv w:val="1"/>
      <w:marLeft w:val="0"/>
      <w:marRight w:val="0"/>
      <w:marTop w:val="0"/>
      <w:marBottom w:val="0"/>
      <w:divBdr>
        <w:top w:val="none" w:sz="0" w:space="0" w:color="auto"/>
        <w:left w:val="none" w:sz="0" w:space="0" w:color="auto"/>
        <w:bottom w:val="none" w:sz="0" w:space="0" w:color="auto"/>
        <w:right w:val="none" w:sz="0" w:space="0" w:color="auto"/>
      </w:divBdr>
    </w:div>
    <w:div w:id="1724937973">
      <w:bodyDiv w:val="1"/>
      <w:marLeft w:val="0"/>
      <w:marRight w:val="0"/>
      <w:marTop w:val="0"/>
      <w:marBottom w:val="0"/>
      <w:divBdr>
        <w:top w:val="none" w:sz="0" w:space="0" w:color="auto"/>
        <w:left w:val="none" w:sz="0" w:space="0" w:color="auto"/>
        <w:bottom w:val="none" w:sz="0" w:space="0" w:color="auto"/>
        <w:right w:val="none" w:sz="0" w:space="0" w:color="auto"/>
      </w:divBdr>
    </w:div>
    <w:div w:id="1815486286">
      <w:bodyDiv w:val="1"/>
      <w:marLeft w:val="0"/>
      <w:marRight w:val="0"/>
      <w:marTop w:val="0"/>
      <w:marBottom w:val="0"/>
      <w:divBdr>
        <w:top w:val="none" w:sz="0" w:space="0" w:color="auto"/>
        <w:left w:val="none" w:sz="0" w:space="0" w:color="auto"/>
        <w:bottom w:val="none" w:sz="0" w:space="0" w:color="auto"/>
        <w:right w:val="none" w:sz="0" w:space="0" w:color="auto"/>
      </w:divBdr>
    </w:div>
    <w:div w:id="1868712926">
      <w:bodyDiv w:val="1"/>
      <w:marLeft w:val="0"/>
      <w:marRight w:val="0"/>
      <w:marTop w:val="0"/>
      <w:marBottom w:val="0"/>
      <w:divBdr>
        <w:top w:val="none" w:sz="0" w:space="0" w:color="auto"/>
        <w:left w:val="none" w:sz="0" w:space="0" w:color="auto"/>
        <w:bottom w:val="none" w:sz="0" w:space="0" w:color="auto"/>
        <w:right w:val="none" w:sz="0" w:space="0" w:color="auto"/>
      </w:divBdr>
    </w:div>
    <w:div w:id="1888300011">
      <w:bodyDiv w:val="1"/>
      <w:marLeft w:val="0"/>
      <w:marRight w:val="0"/>
      <w:marTop w:val="0"/>
      <w:marBottom w:val="0"/>
      <w:divBdr>
        <w:top w:val="none" w:sz="0" w:space="0" w:color="auto"/>
        <w:left w:val="none" w:sz="0" w:space="0" w:color="auto"/>
        <w:bottom w:val="none" w:sz="0" w:space="0" w:color="auto"/>
        <w:right w:val="none" w:sz="0" w:space="0" w:color="auto"/>
      </w:divBdr>
    </w:div>
    <w:div w:id="1903321031">
      <w:bodyDiv w:val="1"/>
      <w:marLeft w:val="0"/>
      <w:marRight w:val="0"/>
      <w:marTop w:val="0"/>
      <w:marBottom w:val="0"/>
      <w:divBdr>
        <w:top w:val="none" w:sz="0" w:space="0" w:color="auto"/>
        <w:left w:val="none" w:sz="0" w:space="0" w:color="auto"/>
        <w:bottom w:val="none" w:sz="0" w:space="0" w:color="auto"/>
        <w:right w:val="none" w:sz="0" w:space="0" w:color="auto"/>
      </w:divBdr>
    </w:div>
    <w:div w:id="1904178931">
      <w:bodyDiv w:val="1"/>
      <w:marLeft w:val="0"/>
      <w:marRight w:val="0"/>
      <w:marTop w:val="0"/>
      <w:marBottom w:val="0"/>
      <w:divBdr>
        <w:top w:val="none" w:sz="0" w:space="0" w:color="auto"/>
        <w:left w:val="none" w:sz="0" w:space="0" w:color="auto"/>
        <w:bottom w:val="none" w:sz="0" w:space="0" w:color="auto"/>
        <w:right w:val="none" w:sz="0" w:space="0" w:color="auto"/>
      </w:divBdr>
    </w:div>
    <w:div w:id="193817109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1990019364">
      <w:bodyDiv w:val="1"/>
      <w:marLeft w:val="0"/>
      <w:marRight w:val="0"/>
      <w:marTop w:val="0"/>
      <w:marBottom w:val="0"/>
      <w:divBdr>
        <w:top w:val="none" w:sz="0" w:space="0" w:color="auto"/>
        <w:left w:val="none" w:sz="0" w:space="0" w:color="auto"/>
        <w:bottom w:val="none" w:sz="0" w:space="0" w:color="auto"/>
        <w:right w:val="none" w:sz="0" w:space="0" w:color="auto"/>
      </w:divBdr>
    </w:div>
    <w:div w:id="2001348753">
      <w:bodyDiv w:val="1"/>
      <w:marLeft w:val="0"/>
      <w:marRight w:val="0"/>
      <w:marTop w:val="0"/>
      <w:marBottom w:val="0"/>
      <w:divBdr>
        <w:top w:val="none" w:sz="0" w:space="0" w:color="auto"/>
        <w:left w:val="none" w:sz="0" w:space="0" w:color="auto"/>
        <w:bottom w:val="none" w:sz="0" w:space="0" w:color="auto"/>
        <w:right w:val="none" w:sz="0" w:space="0" w:color="auto"/>
      </w:divBdr>
    </w:div>
    <w:div w:id="2007048886">
      <w:bodyDiv w:val="1"/>
      <w:marLeft w:val="0"/>
      <w:marRight w:val="0"/>
      <w:marTop w:val="0"/>
      <w:marBottom w:val="0"/>
      <w:divBdr>
        <w:top w:val="none" w:sz="0" w:space="0" w:color="auto"/>
        <w:left w:val="none" w:sz="0" w:space="0" w:color="auto"/>
        <w:bottom w:val="none" w:sz="0" w:space="0" w:color="auto"/>
        <w:right w:val="none" w:sz="0" w:space="0" w:color="auto"/>
      </w:divBdr>
    </w:div>
    <w:div w:id="2061442795">
      <w:bodyDiv w:val="1"/>
      <w:marLeft w:val="0"/>
      <w:marRight w:val="0"/>
      <w:marTop w:val="0"/>
      <w:marBottom w:val="0"/>
      <w:divBdr>
        <w:top w:val="none" w:sz="0" w:space="0" w:color="auto"/>
        <w:left w:val="none" w:sz="0" w:space="0" w:color="auto"/>
        <w:bottom w:val="none" w:sz="0" w:space="0" w:color="auto"/>
        <w:right w:val="none" w:sz="0" w:space="0" w:color="auto"/>
      </w:divBdr>
    </w:div>
    <w:div w:id="2074346909">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 w:id="211493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afeworkaustralia.gov.au/data-and-research/measuring-return-work-outcomes" TargetMode="External"/><Relationship Id="rId18" Type="http://schemas.openxmlformats.org/officeDocument/2006/relationships/hyperlink" Target="https://www.safeworkaustralia.gov.au/workers-compensation/comparing-workers-compensation-australia" TargetMode="External"/><Relationship Id="rId26" Type="http://schemas.openxmlformats.org/officeDocument/2006/relationships/hyperlink" Target="http://www.sira.nsw.gov.au/" TargetMode="External"/><Relationship Id="rId39" Type="http://schemas.openxmlformats.org/officeDocument/2006/relationships/hyperlink" Target="mailto:ntworksafe@nt.gov.au" TargetMode="External"/><Relationship Id="rId21" Type="http://schemas.openxmlformats.org/officeDocument/2006/relationships/header" Target="header2.xml"/><Relationship Id="rId34" Type="http://schemas.openxmlformats.org/officeDocument/2006/relationships/hyperlink" Target="http://www.dmirs.wa.gov.au/" TargetMode="External"/><Relationship Id="rId42" Type="http://schemas.openxmlformats.org/officeDocument/2006/relationships/hyperlink" Target="mailto:seacare@comcare.gov.au" TargetMode="External"/><Relationship Id="rId47"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www.icare.nsw.gov.au" TargetMode="External"/><Relationship Id="rId11" Type="http://schemas.openxmlformats.org/officeDocument/2006/relationships/hyperlink" Target="http://www.swa.gov.au" TargetMode="External"/><Relationship Id="rId24" Type="http://schemas.openxmlformats.org/officeDocument/2006/relationships/footer" Target="footer4.xml"/><Relationship Id="rId32" Type="http://schemas.openxmlformats.org/officeDocument/2006/relationships/hyperlink" Target="https://www.worksafe.qld.gov.au/" TargetMode="External"/><Relationship Id="rId37" Type="http://schemas.openxmlformats.org/officeDocument/2006/relationships/hyperlink" Target="mailto:wstinfo@justice.tas.gov.au" TargetMode="External"/><Relationship Id="rId40" Type="http://schemas.openxmlformats.org/officeDocument/2006/relationships/hyperlink" Target="http://www.worksafe.nt.gov.au/Pages/default.aspx" TargetMode="External"/><Relationship Id="rId45" Type="http://schemas.openxmlformats.org/officeDocument/2006/relationships/hyperlink" Target="http://www.acc.co.nz/" TargetMode="External"/><Relationship Id="rId5" Type="http://schemas.openxmlformats.org/officeDocument/2006/relationships/webSettings" Target="webSettings.xml"/><Relationship Id="rId15" Type="http://schemas.openxmlformats.org/officeDocument/2006/relationships/hyperlink" Target="https://www.safeworkaustralia.gov.au/resources-and-publications/statistical-reports/covid-19-and-safe-work-australia-data" TargetMode="External"/><Relationship Id="rId23" Type="http://schemas.openxmlformats.org/officeDocument/2006/relationships/footer" Target="footer3.xml"/><Relationship Id="rId28" Type="http://schemas.openxmlformats.org/officeDocument/2006/relationships/hyperlink" Target="http://pi.nsw.gov.au/" TargetMode="External"/><Relationship Id="rId36" Type="http://schemas.openxmlformats.org/officeDocument/2006/relationships/hyperlink" Target="http://www.safework.sa.gov.au/" TargetMode="External"/><Relationship Id="rId49" Type="http://schemas.openxmlformats.org/officeDocument/2006/relationships/theme" Target="theme/theme1.xml"/><Relationship Id="rId10" Type="http://schemas.openxmlformats.org/officeDocument/2006/relationships/hyperlink" Target="mailto:info@swa.gov.au" TargetMode="External"/><Relationship Id="rId19" Type="http://schemas.openxmlformats.org/officeDocument/2006/relationships/hyperlink" Target="https://www.safeworkaustralia.gov.au/" TargetMode="External"/><Relationship Id="rId31" Type="http://schemas.openxmlformats.org/officeDocument/2006/relationships/hyperlink" Target="http://www.worksafe.vic.gov.au/" TargetMode="External"/><Relationship Id="rId44" Type="http://schemas.openxmlformats.org/officeDocument/2006/relationships/hyperlink" Target="http://www.comcare.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afeworkaustralia.gov.au/workers-compensation/comparing-workers-compensation-australia" TargetMode="External"/><Relationship Id="rId22" Type="http://schemas.openxmlformats.org/officeDocument/2006/relationships/header" Target="header3.xml"/><Relationship Id="rId27" Type="http://schemas.openxmlformats.org/officeDocument/2006/relationships/hyperlink" Target="http://www.safework.nsw.gov.au/" TargetMode="External"/><Relationship Id="rId30" Type="http://schemas.openxmlformats.org/officeDocument/2006/relationships/hyperlink" Target="mailto:info@worksafe.vic.gov.au" TargetMode="External"/><Relationship Id="rId35" Type="http://schemas.openxmlformats.org/officeDocument/2006/relationships/hyperlink" Target="http://www.rtwsa.com/" TargetMode="External"/><Relationship Id="rId43" Type="http://schemas.openxmlformats.org/officeDocument/2006/relationships/hyperlink" Target="http://www.seacare.gov.au/"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safeworkaustralia.gov.au/resources-and-publications/statistical-reports/comparative-performance-monitoring-report-22nd-edition-part-3" TargetMode="External"/><Relationship Id="rId17" Type="http://schemas.openxmlformats.org/officeDocument/2006/relationships/footer" Target="footer2.xml"/><Relationship Id="rId25" Type="http://schemas.openxmlformats.org/officeDocument/2006/relationships/hyperlink" Target="mailto:contact@sira.nsw.gov.au" TargetMode="External"/><Relationship Id="rId33" Type="http://schemas.openxmlformats.org/officeDocument/2006/relationships/hyperlink" Target="http://www.workcover.wa.gov.au/" TargetMode="External"/><Relationship Id="rId38" Type="http://schemas.openxmlformats.org/officeDocument/2006/relationships/hyperlink" Target="http://www.worksafe.tas.gov.au/" TargetMode="External"/><Relationship Id="rId46" Type="http://schemas.openxmlformats.org/officeDocument/2006/relationships/hyperlink" Target="http://www.worksafe.govt.nz" TargetMode="External"/><Relationship Id="rId20" Type="http://schemas.openxmlformats.org/officeDocument/2006/relationships/image" Target="media/image2.png"/><Relationship Id="rId41" Type="http://schemas.openxmlformats.org/officeDocument/2006/relationships/hyperlink" Target="https://www.worksafe.act.gov.a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8399F-2F7C-4920-9B95-931C0E93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2021-10-27T05:11:00Z</dcterms:created>
  <dcterms:modified xsi:type="dcterms:W3CDTF">2021-11-14T23:51:00Z</dcterms:modified>
</cp:coreProperties>
</file>