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56994" w14:textId="77777777" w:rsidR="00E43996" w:rsidRPr="004E5DAF" w:rsidRDefault="00E43996" w:rsidP="00482182">
      <w:pPr>
        <w:pStyle w:val="Title"/>
        <w:rPr>
          <w:sz w:val="48"/>
          <w:szCs w:val="48"/>
        </w:rPr>
      </w:pPr>
      <w:r w:rsidRPr="004E5DAF">
        <w:rPr>
          <w:sz w:val="48"/>
          <w:szCs w:val="48"/>
        </w:rPr>
        <w:t>AMUSEMENT DEVICES</w:t>
      </w:r>
    </w:p>
    <w:p w14:paraId="4AD01AC5" w14:textId="77777777" w:rsidR="00E43996" w:rsidRPr="00032DCB" w:rsidRDefault="00E36215" w:rsidP="00FD2658">
      <w:pPr>
        <w:spacing w:before="0" w:after="240"/>
        <w:jc w:val="center"/>
        <w:rPr>
          <w:rFonts w:eastAsia="Times New Roman" w:cs="Arial"/>
          <w:b/>
          <w:color w:val="C00000"/>
          <w:sz w:val="44"/>
          <w:szCs w:val="44"/>
          <w:lang w:eastAsia="en-AU"/>
        </w:rPr>
      </w:pPr>
      <w:r>
        <w:rPr>
          <w:rFonts w:eastAsiaTheme="minorEastAsia" w:cs="Arial"/>
          <w:color w:val="C00000"/>
          <w:sz w:val="32"/>
          <w:szCs w:val="32"/>
          <w:lang w:eastAsia="en-AU"/>
        </w:rPr>
        <w:t>INFORMATION</w:t>
      </w:r>
      <w:r w:rsidRPr="007167E1">
        <w:rPr>
          <w:rFonts w:cs="Arial"/>
          <w:color w:val="C00000"/>
          <w:sz w:val="32"/>
          <w:szCs w:val="32"/>
        </w:rPr>
        <w:t xml:space="preserve"> </w:t>
      </w:r>
      <w:r w:rsidR="00E43996" w:rsidRPr="007167E1">
        <w:rPr>
          <w:rFonts w:cs="Arial"/>
          <w:color w:val="C00000"/>
          <w:sz w:val="32"/>
          <w:szCs w:val="32"/>
        </w:rPr>
        <w:t>SHEET</w:t>
      </w:r>
      <w:r w:rsidR="00E43996">
        <w:rPr>
          <w:rFonts w:cs="Arial"/>
          <w:color w:val="C00000"/>
          <w:sz w:val="32"/>
          <w:szCs w:val="32"/>
        </w:rPr>
        <w:t xml:space="preserve"> FOR INFLATABLE DEVICES</w:t>
      </w:r>
    </w:p>
    <w:p w14:paraId="2C9FE6C3" w14:textId="77777777" w:rsidR="00E43996" w:rsidRDefault="00E43996" w:rsidP="00E43996">
      <w:pPr>
        <w:rPr>
          <w:rFonts w:eastAsia="Times New Roman" w:cs="Arial"/>
          <w:bCs/>
          <w:color w:val="C00000"/>
          <w:szCs w:val="22"/>
          <w:lang w:eastAsia="en-AU"/>
        </w:rPr>
        <w:sectPr w:rsidR="00E43996" w:rsidSect="009D61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454" w:footer="459" w:gutter="0"/>
          <w:cols w:space="708"/>
          <w:titlePg/>
          <w:docGrid w:linePitch="360"/>
        </w:sectPr>
      </w:pPr>
    </w:p>
    <w:p w14:paraId="0D648F99" w14:textId="77777777" w:rsidR="00E43996" w:rsidRPr="00FD2658" w:rsidRDefault="00E43996" w:rsidP="00FD2658">
      <w:pPr>
        <w:pStyle w:val="Heading2"/>
      </w:pPr>
      <w:r w:rsidRPr="00FD2658">
        <w:t>Overview</w:t>
      </w:r>
    </w:p>
    <w:p w14:paraId="65E5A25E" w14:textId="77777777" w:rsidR="00E43996" w:rsidRDefault="00E43996" w:rsidP="00E43996">
      <w:pPr>
        <w:rPr>
          <w:sz w:val="20"/>
          <w:szCs w:val="20"/>
        </w:rPr>
      </w:pPr>
      <w:r w:rsidRPr="0069260C">
        <w:rPr>
          <w:sz w:val="20"/>
          <w:szCs w:val="20"/>
        </w:rPr>
        <w:t xml:space="preserve">This </w:t>
      </w:r>
      <w:r w:rsidR="00482182">
        <w:rPr>
          <w:sz w:val="20"/>
          <w:szCs w:val="20"/>
        </w:rPr>
        <w:t>I</w:t>
      </w:r>
      <w:r w:rsidR="00E36215">
        <w:rPr>
          <w:sz w:val="20"/>
          <w:szCs w:val="20"/>
        </w:rPr>
        <w:t>nformation</w:t>
      </w:r>
      <w:r w:rsidRPr="0069260C">
        <w:rPr>
          <w:sz w:val="20"/>
          <w:szCs w:val="20"/>
        </w:rPr>
        <w:t xml:space="preserve"> </w:t>
      </w:r>
      <w:r w:rsidR="00482182">
        <w:rPr>
          <w:sz w:val="20"/>
          <w:szCs w:val="20"/>
        </w:rPr>
        <w:t>S</w:t>
      </w:r>
      <w:r w:rsidRPr="0069260C">
        <w:rPr>
          <w:sz w:val="20"/>
          <w:szCs w:val="20"/>
        </w:rPr>
        <w:t xml:space="preserve">heet provides </w:t>
      </w:r>
      <w:r w:rsidR="009B60CA" w:rsidRPr="009B60CA">
        <w:rPr>
          <w:sz w:val="20"/>
          <w:szCs w:val="20"/>
        </w:rPr>
        <w:t xml:space="preserve">advice for small businesses and workers </w:t>
      </w:r>
      <w:r>
        <w:rPr>
          <w:sz w:val="20"/>
          <w:szCs w:val="20"/>
        </w:rPr>
        <w:t>on hazards and risk controls for inflatable amusement devices</w:t>
      </w:r>
      <w:r w:rsidRPr="0069260C">
        <w:rPr>
          <w:sz w:val="20"/>
          <w:szCs w:val="20"/>
        </w:rPr>
        <w:t>.</w:t>
      </w:r>
    </w:p>
    <w:p w14:paraId="3592DC6C" w14:textId="77777777" w:rsidR="00136265" w:rsidRPr="0069260C" w:rsidRDefault="00136265" w:rsidP="00136265">
      <w:pPr>
        <w:rPr>
          <w:sz w:val="20"/>
          <w:szCs w:val="20"/>
        </w:rPr>
      </w:pPr>
      <w:r>
        <w:rPr>
          <w:sz w:val="20"/>
          <w:szCs w:val="20"/>
        </w:rPr>
        <w:t xml:space="preserve">An inflatable amusement device is </w:t>
      </w:r>
      <w:r w:rsidRPr="00136265">
        <w:rPr>
          <w:sz w:val="20"/>
          <w:szCs w:val="20"/>
        </w:rPr>
        <w:t xml:space="preserve">fabricated from flexible materials </w:t>
      </w:r>
      <w:r>
        <w:rPr>
          <w:sz w:val="20"/>
          <w:szCs w:val="20"/>
        </w:rPr>
        <w:t>and</w:t>
      </w:r>
      <w:r w:rsidRPr="00136265">
        <w:rPr>
          <w:sz w:val="20"/>
          <w:szCs w:val="20"/>
        </w:rPr>
        <w:t xml:space="preserve"> relies on internal air pressure to maintain its shape.</w:t>
      </w:r>
    </w:p>
    <w:p w14:paraId="5E1EE0C4" w14:textId="5AF22516" w:rsidR="00E43996" w:rsidRPr="002C2AB4" w:rsidRDefault="00E43996" w:rsidP="00E43996">
      <w:pPr>
        <w:rPr>
          <w:i/>
          <w:sz w:val="20"/>
          <w:szCs w:val="20"/>
        </w:rPr>
      </w:pPr>
      <w:r w:rsidRPr="0069260C">
        <w:rPr>
          <w:sz w:val="20"/>
          <w:szCs w:val="20"/>
        </w:rPr>
        <w:t xml:space="preserve">For </w:t>
      </w:r>
      <w:r>
        <w:rPr>
          <w:sz w:val="20"/>
          <w:szCs w:val="20"/>
        </w:rPr>
        <w:t>more</w:t>
      </w:r>
      <w:r w:rsidRPr="0069260C">
        <w:rPr>
          <w:sz w:val="20"/>
          <w:szCs w:val="20"/>
        </w:rPr>
        <w:t xml:space="preserve"> information see the </w:t>
      </w:r>
      <w:hyperlink r:id="rId15" w:history="1">
        <w:r w:rsidR="00E36215" w:rsidRPr="00D23175">
          <w:rPr>
            <w:rStyle w:val="Hyperlink"/>
            <w:i/>
            <w:sz w:val="20"/>
            <w:szCs w:val="20"/>
          </w:rPr>
          <w:t xml:space="preserve">General </w:t>
        </w:r>
        <w:r w:rsidR="002C2AB4" w:rsidRPr="00D23175">
          <w:rPr>
            <w:rStyle w:val="Hyperlink"/>
            <w:i/>
            <w:sz w:val="20"/>
            <w:szCs w:val="20"/>
          </w:rPr>
          <w:t>g</w:t>
        </w:r>
        <w:r w:rsidR="00E36215" w:rsidRPr="00D23175">
          <w:rPr>
            <w:rStyle w:val="Hyperlink"/>
            <w:i/>
            <w:sz w:val="20"/>
            <w:szCs w:val="20"/>
          </w:rPr>
          <w:t>uide</w:t>
        </w:r>
        <w:r w:rsidR="00D824EB" w:rsidRPr="00D23175">
          <w:rPr>
            <w:rStyle w:val="Hyperlink"/>
            <w:i/>
            <w:sz w:val="20"/>
            <w:szCs w:val="20"/>
          </w:rPr>
          <w:t xml:space="preserve"> for</w:t>
        </w:r>
        <w:r w:rsidRPr="00D23175">
          <w:rPr>
            <w:rStyle w:val="Hyperlink"/>
            <w:i/>
            <w:sz w:val="20"/>
            <w:szCs w:val="20"/>
          </w:rPr>
          <w:t xml:space="preserve"> </w:t>
        </w:r>
        <w:r w:rsidR="002C2AB4" w:rsidRPr="00D23175">
          <w:rPr>
            <w:rStyle w:val="Hyperlink"/>
            <w:i/>
            <w:sz w:val="20"/>
            <w:szCs w:val="20"/>
          </w:rPr>
          <w:t>a</w:t>
        </w:r>
        <w:r w:rsidRPr="00D23175">
          <w:rPr>
            <w:rStyle w:val="Hyperlink"/>
            <w:i/>
            <w:sz w:val="20"/>
            <w:szCs w:val="20"/>
          </w:rPr>
          <w:t xml:space="preserve">musement </w:t>
        </w:r>
        <w:r w:rsidR="002C2AB4" w:rsidRPr="00D23175">
          <w:rPr>
            <w:rStyle w:val="Hyperlink"/>
            <w:i/>
            <w:sz w:val="20"/>
            <w:szCs w:val="20"/>
          </w:rPr>
          <w:t>d</w:t>
        </w:r>
        <w:r w:rsidRPr="00D23175">
          <w:rPr>
            <w:rStyle w:val="Hyperlink"/>
            <w:i/>
            <w:sz w:val="20"/>
            <w:szCs w:val="20"/>
          </w:rPr>
          <w:t>evices</w:t>
        </w:r>
      </w:hyperlink>
      <w:r w:rsidRPr="002C2AB4">
        <w:rPr>
          <w:i/>
          <w:sz w:val="20"/>
          <w:szCs w:val="20"/>
        </w:rPr>
        <w:t>.</w:t>
      </w:r>
    </w:p>
    <w:p w14:paraId="61A1AE9F" w14:textId="77777777" w:rsidR="00E43996" w:rsidRPr="009F3AD9" w:rsidRDefault="00E43996" w:rsidP="00FD2658">
      <w:pPr>
        <w:pStyle w:val="Heading2"/>
      </w:pPr>
      <w:r>
        <w:t>Land-borne inflatable devices</w:t>
      </w:r>
    </w:p>
    <w:p w14:paraId="12B4E76D" w14:textId="77777777" w:rsidR="00E43996" w:rsidRPr="00C42519" w:rsidRDefault="00E43996" w:rsidP="00E43996">
      <w:pPr>
        <w:rPr>
          <w:sz w:val="20"/>
          <w:szCs w:val="20"/>
        </w:rPr>
      </w:pPr>
      <w:r w:rsidRPr="00C42519">
        <w:rPr>
          <w:sz w:val="20"/>
          <w:szCs w:val="20"/>
        </w:rPr>
        <w:t>Inflatable amusement devices can be a hazard if they are not set up and operated according to relevant instructions. Poor inflatable set-up or operation can lead to:</w:t>
      </w:r>
    </w:p>
    <w:p w14:paraId="411EF606" w14:textId="77777777" w:rsidR="00E43996" w:rsidRPr="00C42519" w:rsidRDefault="00E43996" w:rsidP="00E43996">
      <w:pPr>
        <w:pStyle w:val="ListParagraph"/>
        <w:numPr>
          <w:ilvl w:val="0"/>
          <w:numId w:val="1"/>
        </w:numPr>
        <w:ind w:left="357" w:hanging="357"/>
        <w:contextualSpacing w:val="0"/>
        <w:rPr>
          <w:sz w:val="20"/>
          <w:szCs w:val="20"/>
        </w:rPr>
      </w:pPr>
      <w:r w:rsidRPr="00C42519">
        <w:rPr>
          <w:sz w:val="20"/>
          <w:szCs w:val="20"/>
        </w:rPr>
        <w:t>the amusement device becoming airborne during strong wind gusts</w:t>
      </w:r>
    </w:p>
    <w:p w14:paraId="5BD10B36" w14:textId="77777777" w:rsidR="00E43996" w:rsidRPr="00C42519" w:rsidRDefault="00E43996" w:rsidP="00E43996">
      <w:pPr>
        <w:pStyle w:val="ListParagraph"/>
        <w:numPr>
          <w:ilvl w:val="0"/>
          <w:numId w:val="1"/>
        </w:numPr>
        <w:ind w:left="357" w:hanging="357"/>
        <w:contextualSpacing w:val="0"/>
        <w:rPr>
          <w:sz w:val="20"/>
          <w:szCs w:val="20"/>
        </w:rPr>
      </w:pPr>
      <w:r w:rsidRPr="00C42519">
        <w:rPr>
          <w:sz w:val="20"/>
          <w:szCs w:val="20"/>
        </w:rPr>
        <w:t>the amusement device collapsing and trapping patrons, and</w:t>
      </w:r>
    </w:p>
    <w:p w14:paraId="7DA7F7F2" w14:textId="77777777" w:rsidR="00E43996" w:rsidRPr="00C42519" w:rsidRDefault="00E43996" w:rsidP="00E43996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C42519">
        <w:rPr>
          <w:sz w:val="20"/>
          <w:szCs w:val="20"/>
        </w:rPr>
        <w:t xml:space="preserve">injury to patrons </w:t>
      </w:r>
      <w:r w:rsidR="007C6929">
        <w:rPr>
          <w:sz w:val="20"/>
          <w:szCs w:val="20"/>
        </w:rPr>
        <w:t xml:space="preserve">on amusement devices where they </w:t>
      </w:r>
      <w:r w:rsidRPr="00C42519">
        <w:rPr>
          <w:sz w:val="20"/>
          <w:szCs w:val="20"/>
        </w:rPr>
        <w:t xml:space="preserve">can move freely </w:t>
      </w:r>
      <w:r>
        <w:rPr>
          <w:sz w:val="20"/>
          <w:szCs w:val="20"/>
        </w:rPr>
        <w:t xml:space="preserve">without </w:t>
      </w:r>
      <w:r w:rsidRPr="00DA02FD">
        <w:rPr>
          <w:sz w:val="20"/>
          <w:szCs w:val="20"/>
        </w:rPr>
        <w:t>supervision e.g. an</w:t>
      </w:r>
      <w:r w:rsidRPr="00E43996">
        <w:rPr>
          <w:sz w:val="20"/>
          <w:szCs w:val="20"/>
        </w:rPr>
        <w:t xml:space="preserve"> inflatable device (continuously blown) like a jumping castle.</w:t>
      </w:r>
    </w:p>
    <w:p w14:paraId="2FDFFD3F" w14:textId="77777777" w:rsidR="00E43996" w:rsidRPr="00C42519" w:rsidRDefault="00E43996" w:rsidP="00E43996">
      <w:pPr>
        <w:rPr>
          <w:sz w:val="20"/>
          <w:szCs w:val="20"/>
        </w:rPr>
      </w:pPr>
      <w:r w:rsidRPr="00C42519">
        <w:rPr>
          <w:sz w:val="20"/>
          <w:szCs w:val="20"/>
        </w:rPr>
        <w:t>Inflatable devices should be:</w:t>
      </w:r>
    </w:p>
    <w:p w14:paraId="3F0316F4" w14:textId="77777777" w:rsidR="00E43996" w:rsidRPr="00C42519" w:rsidRDefault="00E43996" w:rsidP="00E43996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 w:rsidRPr="00C42519">
        <w:rPr>
          <w:sz w:val="20"/>
          <w:szCs w:val="20"/>
        </w:rPr>
        <w:t xml:space="preserve">secured and anchored with anchor points provided according to the manufacturer’s instructions and relevant technical standards </w:t>
      </w:r>
    </w:p>
    <w:p w14:paraId="749469E7" w14:textId="77777777" w:rsidR="00C05AF0" w:rsidRPr="006C6341" w:rsidRDefault="00E43996" w:rsidP="00C05AF0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 w:rsidRPr="00C42519">
        <w:rPr>
          <w:sz w:val="20"/>
          <w:szCs w:val="20"/>
        </w:rPr>
        <w:t>evacuated when wind gusts exceed the manufacturer’s guidelines or when the wind gusts are over 40 km per hour</w:t>
      </w:r>
    </w:p>
    <w:p w14:paraId="7CAFA5E5" w14:textId="77777777" w:rsidR="00C05AF0" w:rsidRPr="00C05AF0" w:rsidRDefault="00C05AF0" w:rsidP="00C05AF0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 w:rsidRPr="00C05AF0">
        <w:rPr>
          <w:sz w:val="20"/>
          <w:szCs w:val="20"/>
        </w:rPr>
        <w:t xml:space="preserve">installed with suitable impact absorbing mats </w:t>
      </w:r>
      <w:r w:rsidR="00CE021B">
        <w:rPr>
          <w:sz w:val="20"/>
          <w:szCs w:val="20"/>
        </w:rPr>
        <w:t xml:space="preserve">if they are </w:t>
      </w:r>
      <w:r w:rsidRPr="00C05AF0">
        <w:rPr>
          <w:sz w:val="20"/>
          <w:szCs w:val="20"/>
        </w:rPr>
        <w:t>in areas where patrons can fall off the unfenced platform of the inflatable e.g. entrance and exits</w:t>
      </w:r>
    </w:p>
    <w:p w14:paraId="797C4071" w14:textId="77777777" w:rsidR="00E43996" w:rsidRPr="00C42519" w:rsidRDefault="00E43996" w:rsidP="00E43996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 w:rsidRPr="00C42519">
        <w:rPr>
          <w:sz w:val="20"/>
          <w:szCs w:val="20"/>
        </w:rPr>
        <w:t>supervised at all times by people who are competent to operate the device safely</w:t>
      </w:r>
    </w:p>
    <w:p w14:paraId="2EC131CD" w14:textId="77777777" w:rsidR="00E43996" w:rsidRPr="00C42519" w:rsidRDefault="00E43996" w:rsidP="00E43996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 w:rsidRPr="00C42519">
        <w:rPr>
          <w:sz w:val="20"/>
          <w:szCs w:val="20"/>
        </w:rPr>
        <w:t xml:space="preserve">monitored so </w:t>
      </w:r>
      <w:r w:rsidR="00C54963">
        <w:rPr>
          <w:sz w:val="20"/>
          <w:szCs w:val="20"/>
        </w:rPr>
        <w:t>a device</w:t>
      </w:r>
      <w:r w:rsidRPr="00C42519">
        <w:rPr>
          <w:sz w:val="20"/>
          <w:szCs w:val="20"/>
        </w:rPr>
        <w:t xml:space="preserve"> is not used at the same time by more than the recommended maximum number of patrons</w:t>
      </w:r>
    </w:p>
    <w:p w14:paraId="44A05DF7" w14:textId="77777777" w:rsidR="00E43996" w:rsidRPr="00C42519" w:rsidRDefault="00E43996" w:rsidP="00E43996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 w:rsidRPr="00C42519">
        <w:rPr>
          <w:sz w:val="20"/>
          <w:szCs w:val="20"/>
        </w:rPr>
        <w:t>monitored so electrical or other powered components of the inflatable cannot be interfered with by patrons, in particular children, and</w:t>
      </w:r>
    </w:p>
    <w:p w14:paraId="57419410" w14:textId="77777777" w:rsidR="00E43996" w:rsidRPr="00C42519" w:rsidRDefault="00E43996" w:rsidP="00E43996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 w:rsidRPr="00C42519">
        <w:rPr>
          <w:sz w:val="20"/>
          <w:szCs w:val="20"/>
        </w:rPr>
        <w:t>inspected regularly for wear or rips in the fabric.</w:t>
      </w:r>
    </w:p>
    <w:p w14:paraId="09DA00A8" w14:textId="77777777" w:rsidR="00576372" w:rsidRDefault="00E43996" w:rsidP="00E43996">
      <w:pPr>
        <w:rPr>
          <w:sz w:val="20"/>
          <w:szCs w:val="20"/>
        </w:rPr>
      </w:pPr>
      <w:r w:rsidRPr="00C42519">
        <w:rPr>
          <w:sz w:val="20"/>
          <w:szCs w:val="20"/>
        </w:rPr>
        <w:t>Patrons should be monitored so only those of similar size and weight are on</w:t>
      </w:r>
      <w:r>
        <w:rPr>
          <w:sz w:val="20"/>
          <w:szCs w:val="20"/>
        </w:rPr>
        <w:t xml:space="preserve"> the </w:t>
      </w:r>
      <w:r w:rsidRPr="00C42519">
        <w:rPr>
          <w:sz w:val="20"/>
          <w:szCs w:val="20"/>
        </w:rPr>
        <w:t>amusement device at the same time. This will reduce the risk of injury to smaller patrons. Somersaults, flips or tackling other patrons should not be</w:t>
      </w:r>
      <w:r>
        <w:rPr>
          <w:sz w:val="20"/>
          <w:szCs w:val="20"/>
        </w:rPr>
        <w:t xml:space="preserve"> permitted.</w:t>
      </w:r>
    </w:p>
    <w:p w14:paraId="0B57F484" w14:textId="77777777" w:rsidR="00E43996" w:rsidRDefault="00E43996" w:rsidP="00E43996">
      <w:pPr>
        <w:rPr>
          <w:sz w:val="20"/>
          <w:szCs w:val="20"/>
        </w:rPr>
      </w:pPr>
      <w:r>
        <w:t xml:space="preserve">If </w:t>
      </w:r>
      <w:r w:rsidRPr="00C42519">
        <w:rPr>
          <w:sz w:val="20"/>
          <w:szCs w:val="20"/>
        </w:rPr>
        <w:t>the land-borne inflatable device is continuously blown with a platform height of 3 metres or more plant registration is required.</w:t>
      </w:r>
    </w:p>
    <w:p w14:paraId="484C2A5E" w14:textId="77777777" w:rsidR="00E43996" w:rsidRPr="00CD3AEE" w:rsidRDefault="00E43996" w:rsidP="00FD2658">
      <w:pPr>
        <w:pStyle w:val="Heading2"/>
      </w:pPr>
      <w:r>
        <w:t>Water-borne inflatable devices</w:t>
      </w:r>
    </w:p>
    <w:p w14:paraId="2D023DC1" w14:textId="77777777" w:rsidR="00E43996" w:rsidRPr="00C42519" w:rsidRDefault="00E43996" w:rsidP="00E43996">
      <w:pPr>
        <w:rPr>
          <w:sz w:val="20"/>
          <w:szCs w:val="20"/>
        </w:rPr>
      </w:pPr>
      <w:r w:rsidRPr="00C42519">
        <w:rPr>
          <w:sz w:val="20"/>
          <w:szCs w:val="20"/>
        </w:rPr>
        <w:t>A water</w:t>
      </w:r>
      <w:r w:rsidR="00E26010">
        <w:rPr>
          <w:sz w:val="20"/>
          <w:szCs w:val="20"/>
        </w:rPr>
        <w:t>-</w:t>
      </w:r>
      <w:r w:rsidRPr="00C42519">
        <w:rPr>
          <w:sz w:val="20"/>
          <w:szCs w:val="20"/>
        </w:rPr>
        <w:t xml:space="preserve">borne inflatable device means an amusement device that </w:t>
      </w:r>
      <w:r w:rsidR="00136265">
        <w:rPr>
          <w:sz w:val="20"/>
          <w:szCs w:val="20"/>
        </w:rPr>
        <w:t>is</w:t>
      </w:r>
      <w:r w:rsidR="00136265" w:rsidRPr="00136265">
        <w:rPr>
          <w:sz w:val="20"/>
          <w:szCs w:val="20"/>
        </w:rPr>
        <w:t xml:space="preserve"> used on controlled water</w:t>
      </w:r>
      <w:r w:rsidR="00136265">
        <w:rPr>
          <w:sz w:val="20"/>
          <w:szCs w:val="20"/>
        </w:rPr>
        <w:t xml:space="preserve">. </w:t>
      </w:r>
      <w:r w:rsidR="00E26010">
        <w:rPr>
          <w:sz w:val="20"/>
          <w:szCs w:val="20"/>
        </w:rPr>
        <w:t>For example</w:t>
      </w:r>
      <w:r w:rsidR="00AA21DC">
        <w:rPr>
          <w:sz w:val="20"/>
          <w:szCs w:val="20"/>
        </w:rPr>
        <w:t>,</w:t>
      </w:r>
      <w:r w:rsidR="00E26010">
        <w:rPr>
          <w:sz w:val="20"/>
          <w:szCs w:val="20"/>
        </w:rPr>
        <w:t xml:space="preserve"> t</w:t>
      </w:r>
      <w:r w:rsidR="00136265">
        <w:rPr>
          <w:sz w:val="20"/>
          <w:szCs w:val="20"/>
        </w:rPr>
        <w:t>hese devices may be in pools or as part of a ride where the inflatable is propelled by moving water</w:t>
      </w:r>
      <w:r w:rsidR="00B62108">
        <w:rPr>
          <w:sz w:val="20"/>
          <w:szCs w:val="20"/>
        </w:rPr>
        <w:t>.</w:t>
      </w:r>
      <w:r w:rsidRPr="00C42519">
        <w:rPr>
          <w:sz w:val="20"/>
          <w:szCs w:val="20"/>
        </w:rPr>
        <w:t xml:space="preserve"> Patrons are not </w:t>
      </w:r>
      <w:r w:rsidR="00136265">
        <w:rPr>
          <w:sz w:val="20"/>
          <w:szCs w:val="20"/>
        </w:rPr>
        <w:t xml:space="preserve">generally </w:t>
      </w:r>
      <w:r w:rsidRPr="00C42519">
        <w:rPr>
          <w:sz w:val="20"/>
          <w:szCs w:val="20"/>
        </w:rPr>
        <w:t xml:space="preserve">immersed </w:t>
      </w:r>
      <w:r w:rsidR="00136265">
        <w:rPr>
          <w:sz w:val="20"/>
          <w:szCs w:val="20"/>
        </w:rPr>
        <w:t xml:space="preserve">in water </w:t>
      </w:r>
      <w:r w:rsidRPr="00C42519">
        <w:rPr>
          <w:sz w:val="20"/>
          <w:szCs w:val="20"/>
        </w:rPr>
        <w:t>at any time and are not made wet except from incidental splashing.</w:t>
      </w:r>
    </w:p>
    <w:p w14:paraId="4A07D447" w14:textId="77777777" w:rsidR="00E43996" w:rsidRPr="00C42519" w:rsidRDefault="00E43996" w:rsidP="00E43996">
      <w:pPr>
        <w:rPr>
          <w:sz w:val="20"/>
          <w:szCs w:val="20"/>
        </w:rPr>
      </w:pPr>
      <w:r w:rsidRPr="00C42519">
        <w:rPr>
          <w:sz w:val="20"/>
          <w:szCs w:val="20"/>
        </w:rPr>
        <w:t>Close supervision is needed for patrons using water</w:t>
      </w:r>
      <w:r w:rsidR="00E26010">
        <w:rPr>
          <w:sz w:val="20"/>
          <w:szCs w:val="20"/>
        </w:rPr>
        <w:t>-</w:t>
      </w:r>
      <w:r w:rsidRPr="00C42519">
        <w:rPr>
          <w:sz w:val="20"/>
          <w:szCs w:val="20"/>
        </w:rPr>
        <w:t>borne inflatable devices because the</w:t>
      </w:r>
      <w:r w:rsidR="00136265">
        <w:rPr>
          <w:sz w:val="20"/>
          <w:szCs w:val="20"/>
        </w:rPr>
        <w:t>y can be more unstable and</w:t>
      </w:r>
      <w:r w:rsidRPr="00C42519">
        <w:rPr>
          <w:sz w:val="20"/>
          <w:szCs w:val="20"/>
        </w:rPr>
        <w:t xml:space="preserve"> more difficult to </w:t>
      </w:r>
      <w:r w:rsidR="00136265">
        <w:rPr>
          <w:sz w:val="20"/>
          <w:szCs w:val="20"/>
        </w:rPr>
        <w:t xml:space="preserve">control or </w:t>
      </w:r>
      <w:r w:rsidRPr="00C42519">
        <w:rPr>
          <w:sz w:val="20"/>
          <w:szCs w:val="20"/>
        </w:rPr>
        <w:t xml:space="preserve">anchor than land-borne inflatable devices. This can lead to possible injury and drowning. </w:t>
      </w:r>
      <w:r w:rsidR="00FA2CD8">
        <w:rPr>
          <w:sz w:val="20"/>
          <w:szCs w:val="20"/>
        </w:rPr>
        <w:t>O</w:t>
      </w:r>
      <w:r w:rsidR="00DA1C92">
        <w:rPr>
          <w:sz w:val="20"/>
          <w:szCs w:val="20"/>
        </w:rPr>
        <w:t>perators should consider the ability of users to swim.</w:t>
      </w:r>
    </w:p>
    <w:p w14:paraId="2967865B" w14:textId="77777777" w:rsidR="00E43996" w:rsidRPr="00C42519" w:rsidRDefault="00E43996" w:rsidP="00E43996">
      <w:pPr>
        <w:rPr>
          <w:sz w:val="20"/>
          <w:szCs w:val="20"/>
        </w:rPr>
      </w:pPr>
      <w:r w:rsidRPr="00C42519">
        <w:rPr>
          <w:sz w:val="20"/>
          <w:szCs w:val="20"/>
        </w:rPr>
        <w:t>Control measures should be put in place to prevent patrons being caught between the amusement device and other things like the pool edge, ladders or ropes.</w:t>
      </w:r>
    </w:p>
    <w:p w14:paraId="039A0D61" w14:textId="77777777" w:rsidR="00E43996" w:rsidRPr="00C42519" w:rsidRDefault="00E43996" w:rsidP="00E43996">
      <w:pPr>
        <w:rPr>
          <w:sz w:val="20"/>
          <w:szCs w:val="20"/>
        </w:rPr>
      </w:pPr>
      <w:r w:rsidRPr="00C42519">
        <w:rPr>
          <w:sz w:val="20"/>
          <w:szCs w:val="20"/>
        </w:rPr>
        <w:t>For inflatable pool amusement devices pool operators should:</w:t>
      </w:r>
    </w:p>
    <w:p w14:paraId="47FFFE2E" w14:textId="77777777" w:rsidR="00E43996" w:rsidRPr="0040104F" w:rsidRDefault="00C05AF0" w:rsidP="00D626EA">
      <w:pPr>
        <w:pStyle w:val="ListParagraph"/>
        <w:numPr>
          <w:ilvl w:val="0"/>
          <w:numId w:val="1"/>
        </w:numPr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provide adequate</w:t>
      </w:r>
      <w:r w:rsidR="00E43996" w:rsidRPr="0040104F">
        <w:rPr>
          <w:sz w:val="20"/>
          <w:szCs w:val="20"/>
        </w:rPr>
        <w:t xml:space="preserve"> pool</w:t>
      </w:r>
      <w:r>
        <w:rPr>
          <w:sz w:val="20"/>
          <w:szCs w:val="20"/>
        </w:rPr>
        <w:t xml:space="preserve"> </w:t>
      </w:r>
      <w:r w:rsidR="00E43996" w:rsidRPr="0040104F">
        <w:rPr>
          <w:sz w:val="20"/>
          <w:szCs w:val="20"/>
        </w:rPr>
        <w:t>supervision</w:t>
      </w:r>
      <w:r>
        <w:rPr>
          <w:sz w:val="20"/>
          <w:szCs w:val="20"/>
        </w:rPr>
        <w:t xml:space="preserve"> for patrons</w:t>
      </w:r>
    </w:p>
    <w:p w14:paraId="42C7108A" w14:textId="77777777" w:rsidR="00E43996" w:rsidRPr="0040104F" w:rsidRDefault="00E43996" w:rsidP="00D626EA">
      <w:pPr>
        <w:pStyle w:val="ListParagraph"/>
        <w:numPr>
          <w:ilvl w:val="0"/>
          <w:numId w:val="1"/>
        </w:numPr>
        <w:ind w:left="357" w:hanging="357"/>
        <w:contextualSpacing w:val="0"/>
        <w:rPr>
          <w:sz w:val="20"/>
          <w:szCs w:val="20"/>
        </w:rPr>
      </w:pPr>
      <w:r w:rsidRPr="0040104F">
        <w:rPr>
          <w:sz w:val="20"/>
          <w:szCs w:val="20"/>
        </w:rPr>
        <w:t>encourage parent or guardian supervision to complement other pool supervision</w:t>
      </w:r>
    </w:p>
    <w:p w14:paraId="69D25233" w14:textId="77777777" w:rsidR="00E43996" w:rsidRPr="0040104F" w:rsidRDefault="00E43996" w:rsidP="00D626EA">
      <w:pPr>
        <w:pStyle w:val="ListParagraph"/>
        <w:numPr>
          <w:ilvl w:val="0"/>
          <w:numId w:val="1"/>
        </w:numPr>
        <w:ind w:left="357" w:hanging="357"/>
        <w:contextualSpacing w:val="0"/>
        <w:rPr>
          <w:sz w:val="20"/>
          <w:szCs w:val="20"/>
        </w:rPr>
      </w:pPr>
      <w:r w:rsidRPr="0040104F">
        <w:rPr>
          <w:sz w:val="20"/>
          <w:szCs w:val="20"/>
        </w:rPr>
        <w:t>prepare and maintain emergency plans including procedures to deal with bad behaviour and suspected drowning</w:t>
      </w:r>
      <w:r w:rsidR="00C05AF0">
        <w:rPr>
          <w:sz w:val="20"/>
          <w:szCs w:val="20"/>
        </w:rPr>
        <w:t>, and</w:t>
      </w:r>
    </w:p>
    <w:p w14:paraId="44A86716" w14:textId="77777777" w:rsidR="00E43996" w:rsidRPr="006C6341" w:rsidRDefault="00E43996">
      <w:pPr>
        <w:pStyle w:val="ListParagraph"/>
        <w:numPr>
          <w:ilvl w:val="0"/>
          <w:numId w:val="1"/>
        </w:numPr>
        <w:ind w:left="357" w:hanging="357"/>
        <w:contextualSpacing w:val="0"/>
        <w:rPr>
          <w:sz w:val="20"/>
          <w:szCs w:val="20"/>
        </w:rPr>
      </w:pPr>
      <w:r w:rsidRPr="0040104F">
        <w:rPr>
          <w:sz w:val="20"/>
          <w:szCs w:val="20"/>
        </w:rPr>
        <w:t>hold emergency drills to test and practi</w:t>
      </w:r>
      <w:r w:rsidR="00C54963">
        <w:rPr>
          <w:sz w:val="20"/>
          <w:szCs w:val="20"/>
        </w:rPr>
        <w:t>s</w:t>
      </w:r>
      <w:r w:rsidRPr="0040104F">
        <w:rPr>
          <w:sz w:val="20"/>
          <w:szCs w:val="20"/>
        </w:rPr>
        <w:t>e emergency plans and procedures</w:t>
      </w:r>
      <w:r w:rsidRPr="006C6341">
        <w:rPr>
          <w:sz w:val="20"/>
          <w:szCs w:val="20"/>
        </w:rPr>
        <w:t>.</w:t>
      </w:r>
    </w:p>
    <w:p w14:paraId="0B879ACD" w14:textId="77777777" w:rsidR="00E43996" w:rsidRDefault="00E43996" w:rsidP="00E43996">
      <w:pPr>
        <w:rPr>
          <w:sz w:val="20"/>
          <w:szCs w:val="20"/>
        </w:rPr>
      </w:pPr>
      <w:r w:rsidRPr="00C42519">
        <w:rPr>
          <w:sz w:val="20"/>
          <w:szCs w:val="20"/>
        </w:rPr>
        <w:t>If the water</w:t>
      </w:r>
      <w:r w:rsidR="00E26010">
        <w:rPr>
          <w:sz w:val="20"/>
          <w:szCs w:val="20"/>
        </w:rPr>
        <w:t>-</w:t>
      </w:r>
      <w:r w:rsidRPr="00C42519">
        <w:rPr>
          <w:sz w:val="20"/>
          <w:szCs w:val="20"/>
        </w:rPr>
        <w:t>borne inflatable device is continuously blown with a platform height of 3 metres or more, plant registration is</w:t>
      </w:r>
      <w:r>
        <w:rPr>
          <w:sz w:val="20"/>
          <w:szCs w:val="20"/>
        </w:rPr>
        <w:t xml:space="preserve"> required.</w:t>
      </w:r>
    </w:p>
    <w:p w14:paraId="6C4A5BD9" w14:textId="77777777" w:rsidR="001A1EF6" w:rsidRPr="00FD2658" w:rsidRDefault="001A1EF6" w:rsidP="00E43996">
      <w:pPr>
        <w:rPr>
          <w:b/>
        </w:rPr>
      </w:pPr>
      <w:r>
        <w:rPr>
          <w:sz w:val="20"/>
          <w:szCs w:val="20"/>
        </w:rPr>
        <w:t xml:space="preserve">For further information see the </w:t>
      </w:r>
      <w:hyperlink r:id="rId16" w:history="1">
        <w:r w:rsidRPr="00D23175">
          <w:rPr>
            <w:rStyle w:val="Hyperlink"/>
            <w:sz w:val="20"/>
            <w:szCs w:val="20"/>
          </w:rPr>
          <w:t>Safe Work Australia</w:t>
        </w:r>
      </w:hyperlink>
      <w:r>
        <w:rPr>
          <w:sz w:val="20"/>
          <w:szCs w:val="20"/>
        </w:rPr>
        <w:t xml:space="preserve"> website </w:t>
      </w:r>
      <w:r w:rsidR="00D23175">
        <w:rPr>
          <w:sz w:val="20"/>
          <w:szCs w:val="20"/>
        </w:rPr>
        <w:t>(</w:t>
      </w:r>
      <w:r w:rsidRPr="00D23175">
        <w:rPr>
          <w:sz w:val="20"/>
          <w:szCs w:val="20"/>
        </w:rPr>
        <w:t>www.swa.gov.au</w:t>
      </w:r>
      <w:r w:rsidR="00D23175">
        <w:rPr>
          <w:sz w:val="20"/>
          <w:szCs w:val="20"/>
        </w:rPr>
        <w:t>)</w:t>
      </w:r>
      <w:r w:rsidRPr="00FD2658">
        <w:rPr>
          <w:rStyle w:val="Hyperlink"/>
          <w:sz w:val="20"/>
          <w:szCs w:val="20"/>
          <w:u w:val="none"/>
        </w:rPr>
        <w:t>.</w:t>
      </w:r>
    </w:p>
    <w:sectPr w:rsidR="001A1EF6" w:rsidRPr="00FD2658" w:rsidSect="009D612E">
      <w:type w:val="continuous"/>
      <w:pgSz w:w="11906" w:h="16838"/>
      <w:pgMar w:top="1440" w:right="1440" w:bottom="1440" w:left="1440" w:header="454" w:footer="45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E48C0" w14:textId="77777777" w:rsidR="001B275C" w:rsidRDefault="001B275C" w:rsidP="00E43996">
      <w:pPr>
        <w:spacing w:before="0"/>
      </w:pPr>
      <w:r>
        <w:separator/>
      </w:r>
    </w:p>
  </w:endnote>
  <w:endnote w:type="continuationSeparator" w:id="0">
    <w:p w14:paraId="69C99DA9" w14:textId="77777777" w:rsidR="001B275C" w:rsidRDefault="001B275C" w:rsidP="00E439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42B5" w14:textId="77777777" w:rsidR="00CB733A" w:rsidRDefault="00CB7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B359" w14:textId="77777777" w:rsidR="00345067" w:rsidRDefault="00345067" w:rsidP="00345067">
    <w:pPr>
      <w:pStyle w:val="Footer"/>
      <w:tabs>
        <w:tab w:val="center" w:pos="4253"/>
      </w:tabs>
    </w:pPr>
    <w:r>
      <w:rPr>
        <w:sz w:val="18"/>
        <w:szCs w:val="18"/>
      </w:rPr>
      <w:t>Fact Sheet for Inflatable Devices</w:t>
    </w:r>
    <w:r w:rsidRPr="00150391">
      <w:rPr>
        <w:sz w:val="18"/>
        <w:szCs w:val="18"/>
      </w:rPr>
      <w:tab/>
    </w:r>
    <w:r>
      <w:rPr>
        <w:sz w:val="18"/>
        <w:szCs w:val="18"/>
      </w:rPr>
      <w:tab/>
    </w:r>
    <w:r w:rsidRPr="00150391">
      <w:rPr>
        <w:sz w:val="18"/>
        <w:szCs w:val="18"/>
      </w:rPr>
      <w:tab/>
    </w:r>
    <w:r>
      <w:rPr>
        <w:sz w:val="18"/>
        <w:szCs w:val="18"/>
      </w:rPr>
      <w:t>June</w:t>
    </w:r>
    <w:r w:rsidRPr="00150391">
      <w:rPr>
        <w:sz w:val="18"/>
        <w:szCs w:val="18"/>
      </w:rPr>
      <w:t xml:space="preserve"> 2014</w:t>
    </w:r>
    <w:r>
      <w:rPr>
        <w:sz w:val="18"/>
        <w:szCs w:val="18"/>
      </w:rPr>
      <w:t xml:space="preserve">    </w:t>
    </w:r>
    <w:r w:rsidRPr="009649C1">
      <w:rPr>
        <w:sz w:val="18"/>
        <w:szCs w:val="18"/>
      </w:rPr>
      <w:t xml:space="preserve">Page </w:t>
    </w:r>
    <w:r w:rsidRPr="009649C1">
      <w:rPr>
        <w:caps/>
        <w:sz w:val="18"/>
        <w:szCs w:val="18"/>
      </w:rPr>
      <w:fldChar w:fldCharType="begin"/>
    </w:r>
    <w:r w:rsidRPr="009649C1">
      <w:rPr>
        <w:caps/>
        <w:sz w:val="18"/>
        <w:szCs w:val="18"/>
      </w:rPr>
      <w:instrText xml:space="preserve"> PAGE </w:instrText>
    </w:r>
    <w:r w:rsidRPr="009649C1">
      <w:rPr>
        <w:caps/>
        <w:sz w:val="18"/>
        <w:szCs w:val="18"/>
      </w:rPr>
      <w:fldChar w:fldCharType="separate"/>
    </w:r>
    <w:r w:rsidR="00AA6867">
      <w:rPr>
        <w:caps/>
        <w:noProof/>
        <w:sz w:val="18"/>
        <w:szCs w:val="18"/>
      </w:rPr>
      <w:t>2</w:t>
    </w:r>
    <w:r w:rsidRPr="009649C1">
      <w:rPr>
        <w:caps/>
        <w:sz w:val="18"/>
        <w:szCs w:val="18"/>
      </w:rPr>
      <w:fldChar w:fldCharType="end"/>
    </w:r>
    <w:r w:rsidRPr="009649C1">
      <w:rPr>
        <w:sz w:val="18"/>
        <w:szCs w:val="18"/>
      </w:rPr>
      <w:t xml:space="preserve"> of </w:t>
    </w:r>
    <w:r w:rsidRPr="009649C1">
      <w:rPr>
        <w:caps/>
        <w:sz w:val="18"/>
        <w:szCs w:val="18"/>
      </w:rPr>
      <w:fldChar w:fldCharType="begin"/>
    </w:r>
    <w:r w:rsidRPr="009649C1">
      <w:rPr>
        <w:caps/>
        <w:sz w:val="18"/>
        <w:szCs w:val="18"/>
      </w:rPr>
      <w:instrText xml:space="preserve"> NUMPAGES </w:instrText>
    </w:r>
    <w:r w:rsidRPr="009649C1">
      <w:rPr>
        <w:caps/>
        <w:sz w:val="18"/>
        <w:szCs w:val="18"/>
      </w:rPr>
      <w:fldChar w:fldCharType="separate"/>
    </w:r>
    <w:r w:rsidR="00564780">
      <w:rPr>
        <w:caps/>
        <w:noProof/>
        <w:sz w:val="18"/>
        <w:szCs w:val="18"/>
      </w:rPr>
      <w:t>1</w:t>
    </w:r>
    <w:r w:rsidRPr="009649C1">
      <w:rPr>
        <w:cap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789A7" w14:textId="77777777" w:rsidR="00482182" w:rsidRDefault="009D612E" w:rsidP="00AA6867">
    <w:pPr>
      <w:pStyle w:val="Footer"/>
      <w:tabs>
        <w:tab w:val="clear" w:pos="4513"/>
        <w:tab w:val="left" w:pos="2552"/>
        <w:tab w:val="left" w:pos="3402"/>
        <w:tab w:val="left" w:pos="5670"/>
        <w:tab w:val="left" w:pos="7371"/>
        <w:tab w:val="left" w:pos="8222"/>
      </w:tabs>
      <w:rPr>
        <w:rFonts w:eastAsia="Calibri" w:cs="Arial"/>
        <w:sz w:val="18"/>
        <w:szCs w:val="18"/>
      </w:rPr>
    </w:pPr>
    <w:r>
      <w:rPr>
        <w:noProof/>
        <w:lang w:eastAsia="en-AU"/>
      </w:rPr>
      <w:drawing>
        <wp:inline distT="0" distB="0" distL="0" distR="0" wp14:anchorId="29DD7187" wp14:editId="2F591FEF">
          <wp:extent cx="1233805" cy="431800"/>
          <wp:effectExtent l="0" t="0" r="4445" b="6350"/>
          <wp:docPr id="1" name="Picture 1" descr="Creative Commons icon" title="Creative Commons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icon" title="Creative Commons ic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3175">
      <w:rPr>
        <w:rFonts w:eastAsia="Calibri" w:cs="Arial"/>
        <w:sz w:val="18"/>
        <w:szCs w:val="18"/>
      </w:rPr>
      <w:tab/>
    </w:r>
    <w:r>
      <w:rPr>
        <w:rFonts w:eastAsia="Calibri" w:cs="Arial"/>
        <w:sz w:val="18"/>
        <w:szCs w:val="18"/>
      </w:rPr>
      <w:t>978-1-74361-734-2   [Multi-Vol. Set]</w:t>
    </w:r>
    <w:r w:rsidR="00D23175">
      <w:rPr>
        <w:rFonts w:eastAsia="Calibri" w:cs="Arial"/>
        <w:sz w:val="18"/>
        <w:szCs w:val="18"/>
      </w:rPr>
      <w:tab/>
    </w:r>
    <w:r>
      <w:rPr>
        <w:rFonts w:eastAsia="Calibri" w:cs="Arial"/>
        <w:sz w:val="18"/>
        <w:szCs w:val="18"/>
      </w:rPr>
      <w:t>978-1-74361-741-0</w:t>
    </w:r>
    <w:r w:rsidR="00D23175">
      <w:rPr>
        <w:rFonts w:eastAsia="Calibri" w:cs="Arial"/>
        <w:sz w:val="18"/>
        <w:szCs w:val="18"/>
      </w:rPr>
      <w:tab/>
    </w:r>
    <w:r>
      <w:rPr>
        <w:rFonts w:eastAsia="Calibri" w:cs="Arial"/>
        <w:sz w:val="18"/>
        <w:szCs w:val="18"/>
      </w:rPr>
      <w:t>[PDF]</w:t>
    </w:r>
    <w:r w:rsidR="00AA6867">
      <w:rPr>
        <w:rFonts w:eastAsia="Calibri" w:cs="Arial"/>
        <w:sz w:val="18"/>
        <w:szCs w:val="18"/>
      </w:rPr>
      <w:tab/>
      <w:t>July 2014</w:t>
    </w:r>
  </w:p>
  <w:p w14:paraId="10D8995F" w14:textId="77777777" w:rsidR="00345067" w:rsidRDefault="00482182" w:rsidP="00AA6867">
    <w:pPr>
      <w:pStyle w:val="Footer"/>
      <w:tabs>
        <w:tab w:val="clear" w:pos="4513"/>
        <w:tab w:val="left" w:pos="2552"/>
        <w:tab w:val="left" w:pos="3402"/>
        <w:tab w:val="left" w:pos="5670"/>
        <w:tab w:val="left" w:pos="7371"/>
        <w:tab w:val="left" w:pos="8222"/>
      </w:tabs>
    </w:pPr>
    <w:r>
      <w:rPr>
        <w:rFonts w:eastAsia="Calibri" w:cs="Arial"/>
        <w:sz w:val="18"/>
        <w:szCs w:val="18"/>
      </w:rPr>
      <w:tab/>
    </w:r>
    <w:r>
      <w:rPr>
        <w:rFonts w:eastAsia="Calibri" w:cs="Arial"/>
        <w:sz w:val="18"/>
        <w:szCs w:val="18"/>
      </w:rPr>
      <w:tab/>
    </w:r>
    <w:r>
      <w:rPr>
        <w:rFonts w:eastAsia="Calibri" w:cs="Arial"/>
        <w:sz w:val="18"/>
        <w:szCs w:val="18"/>
      </w:rPr>
      <w:tab/>
    </w:r>
    <w:r w:rsidR="009D612E">
      <w:rPr>
        <w:rFonts w:eastAsia="Calibri" w:cs="Arial"/>
        <w:sz w:val="18"/>
        <w:szCs w:val="18"/>
      </w:rPr>
      <w:t>978-1-74361-742-7</w:t>
    </w:r>
    <w:r w:rsidR="00D23175">
      <w:rPr>
        <w:rFonts w:eastAsia="Calibri" w:cs="Arial"/>
        <w:sz w:val="18"/>
        <w:szCs w:val="18"/>
      </w:rPr>
      <w:tab/>
    </w:r>
    <w:r w:rsidR="009D612E">
      <w:rPr>
        <w:rFonts w:eastAsia="Calibri" w:cs="Arial"/>
        <w:sz w:val="18"/>
        <w:szCs w:val="18"/>
      </w:rPr>
      <w:t>[DOCX]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66152" w14:textId="77777777" w:rsidR="001B275C" w:rsidRDefault="001B275C" w:rsidP="00E43996">
      <w:pPr>
        <w:spacing w:before="0"/>
      </w:pPr>
      <w:r>
        <w:separator/>
      </w:r>
    </w:p>
  </w:footnote>
  <w:footnote w:type="continuationSeparator" w:id="0">
    <w:p w14:paraId="0F017B16" w14:textId="77777777" w:rsidR="001B275C" w:rsidRDefault="001B275C" w:rsidP="00E4399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1392A" w14:textId="77777777" w:rsidR="00CB733A" w:rsidRDefault="00CB7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28E10" w14:textId="77777777" w:rsidR="00E43996" w:rsidRDefault="00E43996" w:rsidP="00345067">
    <w:pPr>
      <w:pStyle w:val="Header"/>
      <w:tabs>
        <w:tab w:val="clear" w:pos="9026"/>
      </w:tabs>
    </w:pPr>
    <w:r>
      <w:rPr>
        <w:rFonts w:cs="Arial"/>
        <w:b/>
        <w:noProof/>
        <w:color w:val="000000"/>
        <w:sz w:val="52"/>
        <w:szCs w:val="52"/>
        <w:lang w:eastAsia="en-AU"/>
      </w:rPr>
      <w:drawing>
        <wp:inline distT="0" distB="0" distL="0" distR="0" wp14:anchorId="5791464A" wp14:editId="7B42720D">
          <wp:extent cx="2071999" cy="432000"/>
          <wp:effectExtent l="0" t="0" r="5080" b="6350"/>
          <wp:docPr id="4" name="Picture 4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999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06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2213D" w14:textId="77777777" w:rsidR="00345067" w:rsidRDefault="00345067">
    <w:pPr>
      <w:pStyle w:val="Header"/>
    </w:pPr>
    <w:r>
      <w:rPr>
        <w:rFonts w:cs="Arial"/>
        <w:b/>
        <w:noProof/>
        <w:color w:val="000000"/>
        <w:sz w:val="52"/>
        <w:szCs w:val="52"/>
        <w:lang w:eastAsia="en-AU"/>
      </w:rPr>
      <w:drawing>
        <wp:inline distT="0" distB="0" distL="0" distR="0" wp14:anchorId="3F1E4F83" wp14:editId="08DD38EC">
          <wp:extent cx="2071999" cy="432000"/>
          <wp:effectExtent l="0" t="0" r="5080" b="6350"/>
          <wp:docPr id="5" name="Picture 5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999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E731E"/>
    <w:multiLevelType w:val="hybridMultilevel"/>
    <w:tmpl w:val="11C633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E659AA"/>
    <w:multiLevelType w:val="hybridMultilevel"/>
    <w:tmpl w:val="2A403A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D72DB0"/>
    <w:multiLevelType w:val="hybridMultilevel"/>
    <w:tmpl w:val="D9BC81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96"/>
    <w:rsid w:val="00136265"/>
    <w:rsid w:val="001A1EF6"/>
    <w:rsid w:val="001B275C"/>
    <w:rsid w:val="0021714D"/>
    <w:rsid w:val="00264B92"/>
    <w:rsid w:val="002C2AB4"/>
    <w:rsid w:val="00345067"/>
    <w:rsid w:val="003E6869"/>
    <w:rsid w:val="004819CB"/>
    <w:rsid w:val="00482182"/>
    <w:rsid w:val="004E425F"/>
    <w:rsid w:val="004E5DAF"/>
    <w:rsid w:val="00564780"/>
    <w:rsid w:val="00576372"/>
    <w:rsid w:val="005E143A"/>
    <w:rsid w:val="006C6341"/>
    <w:rsid w:val="00772FC8"/>
    <w:rsid w:val="007C6929"/>
    <w:rsid w:val="00865A73"/>
    <w:rsid w:val="009B60CA"/>
    <w:rsid w:val="009D612E"/>
    <w:rsid w:val="00AA21DC"/>
    <w:rsid w:val="00AA6867"/>
    <w:rsid w:val="00AB6CCC"/>
    <w:rsid w:val="00B62108"/>
    <w:rsid w:val="00BD5888"/>
    <w:rsid w:val="00C01528"/>
    <w:rsid w:val="00C05AF0"/>
    <w:rsid w:val="00C4024C"/>
    <w:rsid w:val="00C54963"/>
    <w:rsid w:val="00CB65D3"/>
    <w:rsid w:val="00CB733A"/>
    <w:rsid w:val="00CE021B"/>
    <w:rsid w:val="00D23175"/>
    <w:rsid w:val="00D3497E"/>
    <w:rsid w:val="00D626EA"/>
    <w:rsid w:val="00D824EB"/>
    <w:rsid w:val="00DA02FD"/>
    <w:rsid w:val="00DA1C92"/>
    <w:rsid w:val="00E26010"/>
    <w:rsid w:val="00E36215"/>
    <w:rsid w:val="00E42E19"/>
    <w:rsid w:val="00E43996"/>
    <w:rsid w:val="00E44C40"/>
    <w:rsid w:val="00E720C4"/>
    <w:rsid w:val="00FA2CD8"/>
    <w:rsid w:val="00FD2658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B4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96"/>
    <w:pPr>
      <w:spacing w:before="120" w:after="0" w:line="240" w:lineRule="auto"/>
    </w:pPr>
    <w:rPr>
      <w:rFonts w:ascii="Arial" w:eastAsia="Batang" w:hAnsi="Arial" w:cs="Times New Roman"/>
      <w:szCs w:val="24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658"/>
    <w:pPr>
      <w:spacing w:before="240"/>
      <w:outlineLvl w:val="1"/>
    </w:pPr>
    <w:rPr>
      <w:rFonts w:eastAsia="Times New Roman" w:cs="Arial"/>
      <w:b/>
      <w:bCs/>
      <w:color w:val="C00000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996"/>
    <w:pPr>
      <w:ind w:left="720"/>
      <w:contextualSpacing/>
    </w:pPr>
  </w:style>
  <w:style w:type="paragraph" w:customStyle="1" w:styleId="HeadingB">
    <w:name w:val="Heading B"/>
    <w:basedOn w:val="Normal"/>
    <w:qFormat/>
    <w:rsid w:val="00E43996"/>
    <w:pPr>
      <w:spacing w:before="240" w:after="240"/>
    </w:pPr>
    <w:rPr>
      <w:rFonts w:eastAsia="Times New Roman" w:cs="Arial"/>
      <w:b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4399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43996"/>
    <w:rPr>
      <w:rFonts w:ascii="Arial" w:eastAsia="Batang" w:hAnsi="Arial" w:cs="Times New Roman"/>
      <w:szCs w:val="24"/>
      <w:lang w:eastAsia="ko-KR"/>
    </w:rPr>
  </w:style>
  <w:style w:type="paragraph" w:styleId="Footer">
    <w:name w:val="footer"/>
    <w:basedOn w:val="Normal"/>
    <w:link w:val="FooterChar"/>
    <w:unhideWhenUsed/>
    <w:rsid w:val="00E4399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E43996"/>
    <w:rPr>
      <w:rFonts w:ascii="Arial" w:eastAsia="Batang" w:hAnsi="Arial" w:cs="Times New Roman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9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96"/>
    <w:rPr>
      <w:rFonts w:ascii="Tahoma" w:eastAsia="Batang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unhideWhenUsed/>
    <w:rsid w:val="001A1EF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01528"/>
    <w:pPr>
      <w:spacing w:after="0" w:line="240" w:lineRule="auto"/>
    </w:pPr>
    <w:rPr>
      <w:rFonts w:ascii="Arial" w:eastAsia="Batang" w:hAnsi="Arial" w:cs="Times New Roman"/>
      <w:szCs w:val="24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FD2658"/>
    <w:rPr>
      <w:rFonts w:ascii="Arial" w:eastAsia="Times New Roman" w:hAnsi="Arial" w:cs="Arial"/>
      <w:b/>
      <w:bCs/>
      <w:color w:val="C0000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82182"/>
    <w:pPr>
      <w:spacing w:before="0"/>
      <w:jc w:val="center"/>
    </w:pPr>
    <w:rPr>
      <w:rFonts w:eastAsia="Times New Roman" w:cs="Arial"/>
      <w:b/>
      <w:color w:val="C00000"/>
      <w:sz w:val="44"/>
      <w:szCs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482182"/>
    <w:rPr>
      <w:rFonts w:ascii="Arial" w:eastAsia="Times New Roman" w:hAnsi="Arial" w:cs="Arial"/>
      <w:b/>
      <w:color w:val="C00000"/>
      <w:sz w:val="44"/>
      <w:szCs w:val="4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wa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afeworkaustralia.gov.au/resources-and-publications/guidance-materials/guide-amusement-devices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FolderID xmlns="http://schemas.microsoft.com/sharepoint/v3/fields">861</ParentFolderID>
    <PublicationIdentifier xmlns="http://schemas.microsoft.com/sharepoint/v3/fields">978-1-74361-742-7</PublicationIdentifi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24D0B-AD0D-497A-AB2B-54CB269F48C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3F942DA-0758-41A4-8BAB-626C027C7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0.4 Amusement devices: Information sheet for inflatable devices</vt:lpstr>
    </vt:vector>
  </TitlesOfParts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0.4 Amusement devices: Information sheet for inflatable devices</dc:title>
  <dc:creator/>
  <cp:keywords>Safe Work Australia, inflatable devices, Amusement devices, Information sheet</cp:keywords>
  <cp:lastModifiedBy/>
  <cp:revision>1</cp:revision>
  <dcterms:created xsi:type="dcterms:W3CDTF">2021-10-05T02:35:00Z</dcterms:created>
  <dcterms:modified xsi:type="dcterms:W3CDTF">2021-10-05T02:35:00Z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0x010100A3147459CEFB4138ACF45C1B93E95121001AC9209C673FD1488F9C0FD06E69F9BE</vt:lpwstr>
  </property>
</Properties>
</file>