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41CC2" w14:textId="77777777" w:rsidR="00004CC4" w:rsidRDefault="006B5B59" w:rsidP="00B60DA6">
      <w:pPr>
        <w:pStyle w:val="Heading1"/>
      </w:pPr>
      <w:r>
        <w:t>Methodology for the Measurement Framework</w:t>
      </w:r>
    </w:p>
    <w:p w14:paraId="7FE01098" w14:textId="77777777" w:rsidR="005C293C" w:rsidRDefault="006B5B59" w:rsidP="00B60DA6">
      <w:pPr>
        <w:pStyle w:val="Heading2"/>
        <w:rPr>
          <w:lang w:val="en-US"/>
        </w:rPr>
      </w:pPr>
      <w:r>
        <w:rPr>
          <w:lang w:val="en-US"/>
        </w:rPr>
        <w:t>Rationale and technical details underpinning the Measurement Framework</w:t>
      </w:r>
      <w:r w:rsidR="001A0733">
        <w:rPr>
          <w:lang w:val="en-US"/>
        </w:rPr>
        <w:t xml:space="preserve"> </w:t>
      </w:r>
    </w:p>
    <w:p w14:paraId="51E99A6B" w14:textId="77777777" w:rsidR="006B5B59" w:rsidRPr="006B5B59" w:rsidRDefault="006B5B59" w:rsidP="006B5B59">
      <w:pPr>
        <w:rPr>
          <w:lang w:val="en-US"/>
        </w:rPr>
      </w:pPr>
    </w:p>
    <w:p w14:paraId="09D5D6D0" w14:textId="77777777" w:rsidR="005C293C" w:rsidRPr="006B5B59" w:rsidRDefault="006B5B59" w:rsidP="006B5B59">
      <w:pPr>
        <w:pStyle w:val="Pulloutquote"/>
      </w:pPr>
      <w:r>
        <w:t xml:space="preserve">Also see the </w:t>
      </w:r>
      <w:r w:rsidRPr="006B5B59">
        <w:rPr>
          <w:b/>
        </w:rPr>
        <w:t>Measurement Framework</w:t>
      </w:r>
      <w:r>
        <w:t xml:space="preserve"> which outlines the approach to measuring the success of the </w:t>
      </w:r>
      <w:r w:rsidRPr="00722786">
        <w:rPr>
          <w:i/>
        </w:rPr>
        <w:t>National Return to Work Strategy 2020-2030</w:t>
      </w:r>
    </w:p>
    <w:p w14:paraId="6B9E982A" w14:textId="77777777" w:rsidR="009D4182" w:rsidRDefault="009D4182" w:rsidP="005C293C"/>
    <w:p w14:paraId="3E4082B6" w14:textId="77777777" w:rsidR="00B60DA6" w:rsidRDefault="00B60DA6">
      <w:pPr>
        <w:spacing w:line="259" w:lineRule="auto"/>
        <w:rPr>
          <w:rFonts w:ascii="Arial Black" w:eastAsia="Calibri" w:hAnsi="Arial Black" w:cs="Times New Roman"/>
          <w:b/>
          <w:caps/>
          <w:color w:val="FFFFFF" w:themeColor="background1"/>
          <w:spacing w:val="-10"/>
          <w:kern w:val="28"/>
          <w:sz w:val="48"/>
          <w:szCs w:val="48"/>
          <w:lang w:val="en-US"/>
        </w:rPr>
        <w:sectPr w:rsidR="00B60DA6" w:rsidSect="00B60DA6">
          <w:headerReference w:type="default" r:id="rId8"/>
          <w:footerReference w:type="default" r:id="rId9"/>
          <w:headerReference w:type="first" r:id="rId10"/>
          <w:pgSz w:w="11906" w:h="16838" w:code="9"/>
          <w:pgMar w:top="3969" w:right="1440" w:bottom="1440" w:left="1440" w:header="794" w:footer="272" w:gutter="0"/>
          <w:cols w:space="708"/>
          <w:vAlign w:val="center"/>
          <w:titlePg/>
          <w:docGrid w:linePitch="360"/>
        </w:sectPr>
      </w:pPr>
    </w:p>
    <w:p w14:paraId="4BE358E8" w14:textId="77777777" w:rsidR="00893417" w:rsidRPr="00B1657D" w:rsidRDefault="00893417" w:rsidP="00893417">
      <w:pPr>
        <w:pStyle w:val="Heading1"/>
        <w:rPr>
          <w:b w:val="0"/>
        </w:rPr>
      </w:pPr>
      <w:r w:rsidRPr="00B1657D">
        <w:lastRenderedPageBreak/>
        <w:t>The Measurement Model</w:t>
      </w:r>
    </w:p>
    <w:p w14:paraId="6BD69F7C" w14:textId="77777777" w:rsidR="00893417" w:rsidRDefault="00893417" w:rsidP="00893417">
      <w:pPr>
        <w:pStyle w:val="Pulloutquote"/>
      </w:pPr>
      <w:r>
        <w:t xml:space="preserve">Return to work is </w:t>
      </w:r>
      <w:r w:rsidRPr="00B76B54">
        <w:t xml:space="preserve">a complex process in which many factors at the individual, organisational and system levels interact to influence a worker’s recovery, absence from work and the durability of their return to work. </w:t>
      </w:r>
    </w:p>
    <w:p w14:paraId="23B144C5" w14:textId="77777777" w:rsidR="00893417" w:rsidRDefault="00893417" w:rsidP="00B65965">
      <w:pPr>
        <w:pStyle w:val="IWHGBodycopy"/>
      </w:pPr>
    </w:p>
    <w:p w14:paraId="62A8029F" w14:textId="77777777" w:rsidR="00893417" w:rsidRDefault="00893417" w:rsidP="008C610E">
      <w:r>
        <w:t>The measurement model (</w:t>
      </w:r>
      <w:r w:rsidRPr="00893417">
        <w:rPr>
          <w:b/>
        </w:rPr>
        <w:t>Figure 1</w:t>
      </w:r>
      <w:r>
        <w:t>) reflects this complexity. It seeks to determine the most important areas in which data should be collected to develop a comprehensive view of national return to work performance</w:t>
      </w:r>
      <w:r w:rsidRPr="004A7A06">
        <w:rPr>
          <w:rFonts w:asciiTheme="minorHAnsi" w:hAnsiTheme="minorHAnsi"/>
        </w:rPr>
        <w:t xml:space="preserve"> </w:t>
      </w:r>
      <w:r w:rsidRPr="004A7A06">
        <w:t xml:space="preserve">for the purpose of measuring </w:t>
      </w:r>
      <w:r>
        <w:t xml:space="preserve">the Strategy’s </w:t>
      </w:r>
      <w:r w:rsidRPr="004A7A06">
        <w:t>success</w:t>
      </w:r>
      <w:r>
        <w:t>.</w:t>
      </w:r>
    </w:p>
    <w:p w14:paraId="62796B6C" w14:textId="4B41DBFC" w:rsidR="00893417" w:rsidRDefault="00893417" w:rsidP="008C610E">
      <w:r w:rsidRPr="00A14B54">
        <w:t xml:space="preserve">The model is derived from a range of accepted scientific models in injury epidemiology and occupational health and includes lagging indicators </w:t>
      </w:r>
      <w:r>
        <w:t xml:space="preserve">(recovery and return to work outcomes) </w:t>
      </w:r>
      <w:r w:rsidRPr="00A14B54">
        <w:t>and leading indicators</w:t>
      </w:r>
      <w:r>
        <w:t xml:space="preserve"> (</w:t>
      </w:r>
      <w:r w:rsidRPr="00A14B54">
        <w:t xml:space="preserve">factors that influence whether </w:t>
      </w:r>
      <w:r>
        <w:t>recovery and return to work</w:t>
      </w:r>
      <w:r w:rsidRPr="00A14B54">
        <w:t xml:space="preserve"> outcomes are achieved).</w:t>
      </w:r>
      <w:r>
        <w:t xml:space="preserve"> </w:t>
      </w:r>
    </w:p>
    <w:p w14:paraId="671AEA05" w14:textId="77777777" w:rsidR="00893417" w:rsidRDefault="00893417" w:rsidP="008C610E">
      <w:r w:rsidRPr="00A14B54">
        <w:t xml:space="preserve">An important feature of the model is that </w:t>
      </w:r>
      <w:r>
        <w:t>it</w:t>
      </w:r>
      <w:r w:rsidRPr="00A14B54">
        <w:t xml:space="preserve"> cover</w:t>
      </w:r>
      <w:r>
        <w:t>s</w:t>
      </w:r>
      <w:r w:rsidRPr="00A14B54">
        <w:t xml:space="preserve"> the four domains </w:t>
      </w:r>
      <w:r>
        <w:t>of the</w:t>
      </w:r>
      <w:r w:rsidRPr="00A14B54">
        <w:t xml:space="preserve"> worker,</w:t>
      </w:r>
      <w:r>
        <w:t xml:space="preserve"> </w:t>
      </w:r>
      <w:r w:rsidRPr="00A14B54">
        <w:t>workplace (employer), healthcare and compensation system (insurer).</w:t>
      </w:r>
      <w:r w:rsidRPr="001839DC">
        <w:t xml:space="preserve"> </w:t>
      </w:r>
      <w:r w:rsidRPr="00B76B54">
        <w:t xml:space="preserve">A positive return to work </w:t>
      </w:r>
      <w:r>
        <w:t xml:space="preserve">outcome </w:t>
      </w:r>
      <w:r w:rsidRPr="00B76B54">
        <w:t xml:space="preserve">involves all </w:t>
      </w:r>
      <w:r>
        <w:t xml:space="preserve">domains </w:t>
      </w:r>
      <w:r w:rsidRPr="00B76B54">
        <w:t>working well together.</w:t>
      </w:r>
      <w:r>
        <w:t xml:space="preserve"> </w:t>
      </w:r>
    </w:p>
    <w:p w14:paraId="0E90AF37" w14:textId="77777777" w:rsidR="00893417" w:rsidRDefault="00893417" w:rsidP="008C610E">
      <w:r>
        <w:t>While assessing l</w:t>
      </w:r>
      <w:r w:rsidR="00722786">
        <w:t>agging indicators</w:t>
      </w:r>
      <w:r>
        <w:t xml:space="preserve"> is important for determining the ultimate success of the Strategy in improving return to work</w:t>
      </w:r>
      <w:r w:rsidR="00722786">
        <w:t xml:space="preserve"> outcomes</w:t>
      </w:r>
      <w:r>
        <w:t xml:space="preserve">, it is also important to measure leading indicators to inform opportunities for intervention in the short to medium term. Success in improving the leading indicators will contribute to improvements in return to work outcomes. </w:t>
      </w:r>
    </w:p>
    <w:p w14:paraId="5F9E8BF3" w14:textId="77777777" w:rsidR="002235C5" w:rsidRDefault="002235C5" w:rsidP="008C610E"/>
    <w:p w14:paraId="606BC13E" w14:textId="77777777" w:rsidR="00893417" w:rsidRDefault="00893417" w:rsidP="002235C5">
      <w:pPr>
        <w:spacing w:after="0" w:line="257" w:lineRule="auto"/>
      </w:pPr>
      <w:r w:rsidRPr="00893417">
        <w:rPr>
          <w:b/>
        </w:rPr>
        <w:t>Figure 1</w:t>
      </w:r>
      <w:r>
        <w:t xml:space="preserve">. </w:t>
      </w:r>
      <w:r w:rsidRPr="00F208BF">
        <w:rPr>
          <w:b/>
        </w:rPr>
        <w:t>Measurement framework model</w:t>
      </w:r>
      <w:r>
        <w:t xml:space="preserve">, </w:t>
      </w:r>
      <w:hyperlink r:id="rId11" w:history="1">
        <w:r w:rsidRPr="00893417">
          <w:rPr>
            <w:rStyle w:val="Hyperlink"/>
            <w:i/>
          </w:rPr>
          <w:t>National Return to Work Strategy 2020-2030</w:t>
        </w:r>
      </w:hyperlink>
      <w:r>
        <w:t xml:space="preserve"> </w:t>
      </w:r>
      <w:r w:rsidRPr="00EF2FD0">
        <w:rPr>
          <w:b/>
        </w:rPr>
        <w:t>(p.42)</w:t>
      </w:r>
    </w:p>
    <w:p w14:paraId="20E14ACE" w14:textId="77777777" w:rsidR="00893417" w:rsidRPr="005D60BB" w:rsidRDefault="00893417" w:rsidP="005B612E">
      <w:pPr>
        <w:pStyle w:val="IWHGBodycopy"/>
        <w:ind w:hanging="284"/>
      </w:pPr>
      <w:r w:rsidRPr="006A2B8C">
        <w:rPr>
          <w:noProof/>
          <w:lang w:eastAsia="en-AU"/>
        </w:rPr>
        <w:drawing>
          <wp:inline distT="0" distB="0" distL="0" distR="0" wp14:anchorId="366DB94A" wp14:editId="2A6A0A00">
            <wp:extent cx="5991225" cy="2371908"/>
            <wp:effectExtent l="0" t="0" r="0" b="9525"/>
            <wp:docPr id="4" name="Picture 4" descr="C:\Users\PO2576\Pictures\Measurement model v2 for MF 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2576\Pictures\Measurement model v2 for MF croppe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97305" cy="2374315"/>
                    </a:xfrm>
                    <a:prstGeom prst="rect">
                      <a:avLst/>
                    </a:prstGeom>
                    <a:noFill/>
                    <a:ln>
                      <a:noFill/>
                    </a:ln>
                  </pic:spPr>
                </pic:pic>
              </a:graphicData>
            </a:graphic>
          </wp:inline>
        </w:drawing>
      </w:r>
    </w:p>
    <w:p w14:paraId="7DFF8E29" w14:textId="77777777" w:rsidR="00414A0C" w:rsidRDefault="00414A0C">
      <w:pPr>
        <w:spacing w:line="259" w:lineRule="auto"/>
        <w:rPr>
          <w:rFonts w:eastAsia="Calibri" w:cstheme="majorBidi"/>
          <w:b/>
          <w:color w:val="224C52"/>
          <w:sz w:val="40"/>
          <w:szCs w:val="24"/>
        </w:rPr>
      </w:pPr>
      <w:r>
        <w:br w:type="page"/>
      </w:r>
    </w:p>
    <w:p w14:paraId="4FFDA61E" w14:textId="77777777" w:rsidR="008C610E" w:rsidRPr="0071751B" w:rsidRDefault="008C610E" w:rsidP="008C610E">
      <w:pPr>
        <w:pStyle w:val="Heading1"/>
      </w:pPr>
      <w:r w:rsidRPr="0071751B">
        <w:lastRenderedPageBreak/>
        <w:t>Sele</w:t>
      </w:r>
      <w:r>
        <w:t>cting good performance measures</w:t>
      </w:r>
    </w:p>
    <w:p w14:paraId="50DAA40A" w14:textId="77777777" w:rsidR="00722786" w:rsidRDefault="008C610E" w:rsidP="00722786">
      <w:r w:rsidRPr="008C610E">
        <w:t xml:space="preserve">There are many ways, and no one right way, of measuring return to work performance. </w:t>
      </w:r>
      <w:r w:rsidR="00722786" w:rsidRPr="008C610E">
        <w:t>The measurement model provides a basis for determining what makes a good measure.</w:t>
      </w:r>
    </w:p>
    <w:p w14:paraId="6ED3F6FC" w14:textId="77777777" w:rsidR="008C610E" w:rsidRPr="008C610E" w:rsidRDefault="008C610E" w:rsidP="008C610E">
      <w:r w:rsidRPr="008C610E">
        <w:rPr>
          <w:b/>
          <w:shd w:val="clear" w:color="auto" w:fill="FFFFFF"/>
        </w:rPr>
        <w:t>Tables 1 and 2</w:t>
      </w:r>
      <w:r>
        <w:rPr>
          <w:shd w:val="clear" w:color="auto" w:fill="FFFFFF"/>
        </w:rPr>
        <w:t xml:space="preserve"> </w:t>
      </w:r>
      <w:r w:rsidRPr="008C610E">
        <w:t xml:space="preserve">set out the criteria used to identify and select national measures for inclusion in the </w:t>
      </w:r>
      <w:r w:rsidR="001A0733">
        <w:t>f</w:t>
      </w:r>
      <w:r w:rsidRPr="008C610E">
        <w:t xml:space="preserve">ramework. </w:t>
      </w:r>
    </w:p>
    <w:p w14:paraId="54B71C34" w14:textId="77777777" w:rsidR="008C610E" w:rsidRPr="00F208BF" w:rsidRDefault="008C610E" w:rsidP="00BA6315">
      <w:pPr>
        <w:pStyle w:val="Heading3"/>
        <w:rPr>
          <w:shd w:val="clear" w:color="auto" w:fill="FFFFFF"/>
        </w:rPr>
      </w:pPr>
      <w:r w:rsidRPr="00F208BF">
        <w:rPr>
          <w:shd w:val="clear" w:color="auto" w:fill="FFFFFF"/>
        </w:rPr>
        <w:t>Table 1. Guiding criteria for individual measures</w:t>
      </w:r>
    </w:p>
    <w:tbl>
      <w:tblPr>
        <w:tblStyle w:val="GridTable1Light-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414A0C" w:rsidRPr="00F208BF" w14:paraId="5B961F3C" w14:textId="77777777" w:rsidTr="00414A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bottom w:val="none" w:sz="0" w:space="0" w:color="auto"/>
            </w:tcBorders>
            <w:shd w:val="clear" w:color="auto" w:fill="3D7881"/>
          </w:tcPr>
          <w:p w14:paraId="0FC1DE12" w14:textId="77777777" w:rsidR="008C610E" w:rsidRPr="00F208BF" w:rsidRDefault="008C610E" w:rsidP="00414A0C">
            <w:pPr>
              <w:pStyle w:val="IWHGBodycopy"/>
              <w:spacing w:before="80" w:after="80"/>
              <w:rPr>
                <w:b/>
                <w:color w:val="FFFFFF" w:themeColor="background1"/>
                <w:sz w:val="18"/>
              </w:rPr>
            </w:pPr>
            <w:r w:rsidRPr="00F208BF">
              <w:rPr>
                <w:b/>
                <w:color w:val="FFFFFF" w:themeColor="background1"/>
                <w:sz w:val="18"/>
              </w:rPr>
              <w:t>Criteria</w:t>
            </w:r>
          </w:p>
        </w:tc>
        <w:tc>
          <w:tcPr>
            <w:tcW w:w="7036" w:type="dxa"/>
            <w:tcBorders>
              <w:bottom w:val="none" w:sz="0" w:space="0" w:color="auto"/>
            </w:tcBorders>
            <w:shd w:val="clear" w:color="auto" w:fill="3D7881"/>
          </w:tcPr>
          <w:p w14:paraId="1B711097" w14:textId="77777777" w:rsidR="008C610E" w:rsidRPr="00F208BF" w:rsidRDefault="008C610E" w:rsidP="008D1A17">
            <w:pPr>
              <w:pStyle w:val="IWHGBodycopy"/>
              <w:tabs>
                <w:tab w:val="left" w:pos="2895"/>
              </w:tabs>
              <w:spacing w:before="80" w:after="80"/>
              <w:cnfStyle w:val="100000000000" w:firstRow="1" w:lastRow="0" w:firstColumn="0" w:lastColumn="0" w:oddVBand="0" w:evenVBand="0" w:oddHBand="0" w:evenHBand="0" w:firstRowFirstColumn="0" w:firstRowLastColumn="0" w:lastRowFirstColumn="0" w:lastRowLastColumn="0"/>
              <w:rPr>
                <w:b/>
                <w:color w:val="FFFFFF" w:themeColor="background1"/>
                <w:sz w:val="18"/>
              </w:rPr>
            </w:pPr>
            <w:r w:rsidRPr="00F208BF">
              <w:rPr>
                <w:b/>
                <w:color w:val="FFFFFF" w:themeColor="background1"/>
                <w:sz w:val="18"/>
              </w:rPr>
              <w:t>Explanation</w:t>
            </w:r>
            <w:r w:rsidR="008D1A17">
              <w:rPr>
                <w:b/>
                <w:color w:val="FFFFFF" w:themeColor="background1"/>
                <w:sz w:val="18"/>
              </w:rPr>
              <w:tab/>
            </w:r>
          </w:p>
        </w:tc>
      </w:tr>
      <w:tr w:rsidR="008C610E" w:rsidRPr="00F208BF" w14:paraId="7A480B78" w14:textId="77777777" w:rsidTr="008C610E">
        <w:tc>
          <w:tcPr>
            <w:cnfStyle w:val="001000000000" w:firstRow="0" w:lastRow="0" w:firstColumn="1" w:lastColumn="0" w:oddVBand="0" w:evenVBand="0" w:oddHBand="0" w:evenHBand="0" w:firstRowFirstColumn="0" w:firstRowLastColumn="0" w:lastRowFirstColumn="0" w:lastRowLastColumn="0"/>
            <w:tcW w:w="1980" w:type="dxa"/>
            <w:shd w:val="clear" w:color="auto" w:fill="FFFFFF" w:themeFill="background1"/>
            <w:vAlign w:val="center"/>
          </w:tcPr>
          <w:p w14:paraId="29392B59" w14:textId="77777777" w:rsidR="008C610E" w:rsidRPr="00722786" w:rsidRDefault="008C610E" w:rsidP="00414A0C">
            <w:pPr>
              <w:spacing w:before="80" w:after="80" w:line="257" w:lineRule="auto"/>
              <w:rPr>
                <w:sz w:val="18"/>
                <w:szCs w:val="18"/>
              </w:rPr>
            </w:pPr>
            <w:r w:rsidRPr="00722786">
              <w:rPr>
                <w:sz w:val="18"/>
                <w:szCs w:val="18"/>
              </w:rPr>
              <w:t>Strategic</w:t>
            </w:r>
          </w:p>
        </w:tc>
        <w:tc>
          <w:tcPr>
            <w:tcW w:w="7036" w:type="dxa"/>
            <w:vAlign w:val="center"/>
          </w:tcPr>
          <w:p w14:paraId="1140B40D" w14:textId="77777777" w:rsidR="008C610E" w:rsidRPr="00F208BF" w:rsidRDefault="008C610E" w:rsidP="00722786">
            <w:pPr>
              <w:spacing w:before="80" w:after="80" w:line="257" w:lineRule="auto"/>
              <w:cnfStyle w:val="000000000000" w:firstRow="0" w:lastRow="0" w:firstColumn="0" w:lastColumn="0" w:oddVBand="0" w:evenVBand="0" w:oddHBand="0" w:evenHBand="0" w:firstRowFirstColumn="0" w:firstRowLastColumn="0" w:lastRowFirstColumn="0" w:lastRowLastColumn="0"/>
              <w:rPr>
                <w:sz w:val="18"/>
                <w:szCs w:val="18"/>
              </w:rPr>
            </w:pPr>
            <w:r w:rsidRPr="00F208BF">
              <w:rPr>
                <w:sz w:val="18"/>
                <w:szCs w:val="18"/>
              </w:rPr>
              <w:t xml:space="preserve">The measure supports the </w:t>
            </w:r>
            <w:r w:rsidR="00722786">
              <w:rPr>
                <w:sz w:val="18"/>
                <w:szCs w:val="18"/>
              </w:rPr>
              <w:t xml:space="preserve">Strategy’s </w:t>
            </w:r>
            <w:r w:rsidRPr="00F208BF">
              <w:rPr>
                <w:sz w:val="18"/>
                <w:szCs w:val="18"/>
              </w:rPr>
              <w:t xml:space="preserve">vision and assesses a component of one </w:t>
            </w:r>
            <w:r w:rsidR="00722786">
              <w:rPr>
                <w:sz w:val="18"/>
                <w:szCs w:val="18"/>
              </w:rPr>
              <w:t>of the three strategic outcomes</w:t>
            </w:r>
            <w:r w:rsidRPr="00F208BF">
              <w:rPr>
                <w:sz w:val="18"/>
                <w:szCs w:val="18"/>
              </w:rPr>
              <w:t xml:space="preserve"> in the Strategy. </w:t>
            </w:r>
          </w:p>
        </w:tc>
      </w:tr>
      <w:tr w:rsidR="008C610E" w:rsidRPr="00F208BF" w14:paraId="05AA79EB" w14:textId="77777777" w:rsidTr="008C610E">
        <w:tc>
          <w:tcPr>
            <w:cnfStyle w:val="001000000000" w:firstRow="0" w:lastRow="0" w:firstColumn="1" w:lastColumn="0" w:oddVBand="0" w:evenVBand="0" w:oddHBand="0" w:evenHBand="0" w:firstRowFirstColumn="0" w:firstRowLastColumn="0" w:lastRowFirstColumn="0" w:lastRowLastColumn="0"/>
            <w:tcW w:w="1980" w:type="dxa"/>
            <w:shd w:val="clear" w:color="auto" w:fill="FFFFFF" w:themeFill="background1"/>
            <w:vAlign w:val="center"/>
          </w:tcPr>
          <w:p w14:paraId="38ECF600" w14:textId="77777777" w:rsidR="008C610E" w:rsidRPr="00722786" w:rsidRDefault="008C610E" w:rsidP="00414A0C">
            <w:pPr>
              <w:spacing w:before="80" w:after="80" w:line="257" w:lineRule="auto"/>
              <w:rPr>
                <w:sz w:val="18"/>
                <w:szCs w:val="18"/>
              </w:rPr>
            </w:pPr>
            <w:r w:rsidRPr="00722786">
              <w:rPr>
                <w:sz w:val="18"/>
                <w:szCs w:val="18"/>
              </w:rPr>
              <w:t>Modifiable</w:t>
            </w:r>
          </w:p>
        </w:tc>
        <w:tc>
          <w:tcPr>
            <w:tcW w:w="7036" w:type="dxa"/>
            <w:vAlign w:val="center"/>
          </w:tcPr>
          <w:p w14:paraId="75A63E21" w14:textId="77777777" w:rsidR="008C610E" w:rsidRPr="00F208BF" w:rsidRDefault="008C610E" w:rsidP="00414A0C">
            <w:pPr>
              <w:spacing w:before="80" w:after="80" w:line="257" w:lineRule="auto"/>
              <w:cnfStyle w:val="000000000000" w:firstRow="0" w:lastRow="0" w:firstColumn="0" w:lastColumn="0" w:oddVBand="0" w:evenVBand="0" w:oddHBand="0" w:evenHBand="0" w:firstRowFirstColumn="0" w:firstRowLastColumn="0" w:lastRowFirstColumn="0" w:lastRowLastColumn="0"/>
              <w:rPr>
                <w:sz w:val="18"/>
                <w:szCs w:val="18"/>
              </w:rPr>
            </w:pPr>
            <w:r w:rsidRPr="00F208BF">
              <w:rPr>
                <w:sz w:val="18"/>
                <w:szCs w:val="18"/>
              </w:rPr>
              <w:t xml:space="preserve">The measure can be influenced through actions described in the Strategy, within the ten-year time period. </w:t>
            </w:r>
          </w:p>
        </w:tc>
      </w:tr>
      <w:tr w:rsidR="008C610E" w:rsidRPr="00F208BF" w14:paraId="2532E527" w14:textId="77777777" w:rsidTr="008C610E">
        <w:tc>
          <w:tcPr>
            <w:cnfStyle w:val="001000000000" w:firstRow="0" w:lastRow="0" w:firstColumn="1" w:lastColumn="0" w:oddVBand="0" w:evenVBand="0" w:oddHBand="0" w:evenHBand="0" w:firstRowFirstColumn="0" w:firstRowLastColumn="0" w:lastRowFirstColumn="0" w:lastRowLastColumn="0"/>
            <w:tcW w:w="1980" w:type="dxa"/>
            <w:shd w:val="clear" w:color="auto" w:fill="FFFFFF" w:themeFill="background1"/>
            <w:vAlign w:val="center"/>
          </w:tcPr>
          <w:p w14:paraId="7813DEA5" w14:textId="77777777" w:rsidR="008C610E" w:rsidRPr="00722786" w:rsidRDefault="008C610E" w:rsidP="00414A0C">
            <w:pPr>
              <w:spacing w:before="80" w:after="80" w:line="257" w:lineRule="auto"/>
              <w:rPr>
                <w:sz w:val="18"/>
                <w:szCs w:val="18"/>
              </w:rPr>
            </w:pPr>
            <w:r w:rsidRPr="00722786">
              <w:rPr>
                <w:sz w:val="18"/>
                <w:szCs w:val="18"/>
              </w:rPr>
              <w:t>Rational</w:t>
            </w:r>
          </w:p>
        </w:tc>
        <w:tc>
          <w:tcPr>
            <w:tcW w:w="7036" w:type="dxa"/>
            <w:vAlign w:val="center"/>
          </w:tcPr>
          <w:p w14:paraId="2D515B93" w14:textId="77777777" w:rsidR="008C610E" w:rsidRPr="00F208BF" w:rsidRDefault="008C610E" w:rsidP="00722786">
            <w:pPr>
              <w:spacing w:before="80" w:after="80" w:line="257" w:lineRule="auto"/>
              <w:cnfStyle w:val="000000000000" w:firstRow="0" w:lastRow="0" w:firstColumn="0" w:lastColumn="0" w:oddVBand="0" w:evenVBand="0" w:oddHBand="0" w:evenHBand="0" w:firstRowFirstColumn="0" w:firstRowLastColumn="0" w:lastRowFirstColumn="0" w:lastRowLastColumn="0"/>
              <w:rPr>
                <w:sz w:val="18"/>
                <w:szCs w:val="18"/>
              </w:rPr>
            </w:pPr>
            <w:r w:rsidRPr="00F208BF">
              <w:rPr>
                <w:sz w:val="18"/>
                <w:szCs w:val="18"/>
              </w:rPr>
              <w:t xml:space="preserve">The measure assesses one of the four domains of the measurement model and is a lagging or leading indicator. </w:t>
            </w:r>
          </w:p>
        </w:tc>
      </w:tr>
      <w:tr w:rsidR="008C610E" w:rsidRPr="00F208BF" w14:paraId="5ED7FECD" w14:textId="77777777" w:rsidTr="008C610E">
        <w:tc>
          <w:tcPr>
            <w:cnfStyle w:val="001000000000" w:firstRow="0" w:lastRow="0" w:firstColumn="1" w:lastColumn="0" w:oddVBand="0" w:evenVBand="0" w:oddHBand="0" w:evenHBand="0" w:firstRowFirstColumn="0" w:firstRowLastColumn="0" w:lastRowFirstColumn="0" w:lastRowLastColumn="0"/>
            <w:tcW w:w="1980" w:type="dxa"/>
            <w:shd w:val="clear" w:color="auto" w:fill="FFFFFF" w:themeFill="background1"/>
            <w:vAlign w:val="center"/>
          </w:tcPr>
          <w:p w14:paraId="2C8DDF56" w14:textId="77777777" w:rsidR="008C610E" w:rsidRPr="00722786" w:rsidRDefault="008C610E" w:rsidP="00414A0C">
            <w:pPr>
              <w:spacing w:before="80" w:after="80" w:line="257" w:lineRule="auto"/>
              <w:rPr>
                <w:sz w:val="18"/>
                <w:szCs w:val="18"/>
              </w:rPr>
            </w:pPr>
            <w:r w:rsidRPr="00722786">
              <w:rPr>
                <w:sz w:val="18"/>
                <w:szCs w:val="18"/>
              </w:rPr>
              <w:t>Good Quality</w:t>
            </w:r>
          </w:p>
        </w:tc>
        <w:tc>
          <w:tcPr>
            <w:tcW w:w="7036" w:type="dxa"/>
            <w:vAlign w:val="center"/>
          </w:tcPr>
          <w:p w14:paraId="59BDBBBC" w14:textId="77777777" w:rsidR="008C610E" w:rsidRPr="00F208BF" w:rsidRDefault="008C610E" w:rsidP="00414A0C">
            <w:pPr>
              <w:spacing w:before="80" w:after="80" w:line="257" w:lineRule="auto"/>
              <w:cnfStyle w:val="000000000000" w:firstRow="0" w:lastRow="0" w:firstColumn="0" w:lastColumn="0" w:oddVBand="0" w:evenVBand="0" w:oddHBand="0" w:evenHBand="0" w:firstRowFirstColumn="0" w:firstRowLastColumn="0" w:lastRowFirstColumn="0" w:lastRowLastColumn="0"/>
              <w:rPr>
                <w:sz w:val="18"/>
                <w:szCs w:val="18"/>
              </w:rPr>
            </w:pPr>
            <w:r w:rsidRPr="00F208BF">
              <w:rPr>
                <w:sz w:val="18"/>
                <w:szCs w:val="18"/>
              </w:rPr>
              <w:t xml:space="preserve">The measure meets commonly accepted measurement standards, including being reliable, valid, understandable, specific, sensitive and relevant. </w:t>
            </w:r>
          </w:p>
        </w:tc>
      </w:tr>
      <w:tr w:rsidR="008C610E" w:rsidRPr="00F208BF" w14:paraId="4135C771" w14:textId="77777777" w:rsidTr="008C610E">
        <w:tc>
          <w:tcPr>
            <w:cnfStyle w:val="001000000000" w:firstRow="0" w:lastRow="0" w:firstColumn="1" w:lastColumn="0" w:oddVBand="0" w:evenVBand="0" w:oddHBand="0" w:evenHBand="0" w:firstRowFirstColumn="0" w:firstRowLastColumn="0" w:lastRowFirstColumn="0" w:lastRowLastColumn="0"/>
            <w:tcW w:w="1980" w:type="dxa"/>
            <w:shd w:val="clear" w:color="auto" w:fill="FFFFFF" w:themeFill="background1"/>
            <w:vAlign w:val="center"/>
          </w:tcPr>
          <w:p w14:paraId="1F56E0B5" w14:textId="77777777" w:rsidR="008C610E" w:rsidRPr="00722786" w:rsidRDefault="008C610E" w:rsidP="00414A0C">
            <w:pPr>
              <w:spacing w:before="80" w:after="80" w:line="257" w:lineRule="auto"/>
              <w:rPr>
                <w:sz w:val="18"/>
                <w:szCs w:val="18"/>
              </w:rPr>
            </w:pPr>
            <w:r w:rsidRPr="00722786">
              <w:rPr>
                <w:sz w:val="18"/>
                <w:szCs w:val="18"/>
              </w:rPr>
              <w:t>Available</w:t>
            </w:r>
          </w:p>
        </w:tc>
        <w:tc>
          <w:tcPr>
            <w:tcW w:w="7036" w:type="dxa"/>
            <w:vAlign w:val="center"/>
          </w:tcPr>
          <w:p w14:paraId="62F7383F" w14:textId="77777777" w:rsidR="008C610E" w:rsidRPr="00F208BF" w:rsidRDefault="008C610E" w:rsidP="00722786">
            <w:pPr>
              <w:spacing w:before="80" w:after="80" w:line="257" w:lineRule="auto"/>
              <w:cnfStyle w:val="000000000000" w:firstRow="0" w:lastRow="0" w:firstColumn="0" w:lastColumn="0" w:oddVBand="0" w:evenVBand="0" w:oddHBand="0" w:evenHBand="0" w:firstRowFirstColumn="0" w:firstRowLastColumn="0" w:lastRowFirstColumn="0" w:lastRowLastColumn="0"/>
              <w:rPr>
                <w:sz w:val="18"/>
                <w:szCs w:val="18"/>
              </w:rPr>
            </w:pPr>
            <w:r w:rsidRPr="00F208BF">
              <w:rPr>
                <w:sz w:val="18"/>
                <w:szCs w:val="18"/>
              </w:rPr>
              <w:t>Data on the measure must be collected, or able to be collected, across multiple workers’ compensation jurisdicti</w:t>
            </w:r>
            <w:r w:rsidR="00722786">
              <w:rPr>
                <w:sz w:val="18"/>
                <w:szCs w:val="18"/>
              </w:rPr>
              <w:t>ons, and ideally nationally.</w:t>
            </w:r>
          </w:p>
        </w:tc>
      </w:tr>
    </w:tbl>
    <w:p w14:paraId="47310BDF" w14:textId="77777777" w:rsidR="008C610E" w:rsidRPr="008C610E" w:rsidRDefault="008C610E" w:rsidP="008C610E">
      <w:pPr>
        <w:contextualSpacing/>
        <w:rPr>
          <w:rFonts w:eastAsia="Arial" w:cs="Arial"/>
          <w:color w:val="000000"/>
          <w:szCs w:val="20"/>
          <w:lang w:eastAsia="zh-CN"/>
        </w:rPr>
      </w:pPr>
    </w:p>
    <w:p w14:paraId="3FA15157" w14:textId="77777777" w:rsidR="008C610E" w:rsidRDefault="008C610E" w:rsidP="00014D69">
      <w:pPr>
        <w:spacing w:line="259" w:lineRule="auto"/>
        <w:rPr>
          <w:shd w:val="clear" w:color="auto" w:fill="FFFFFF"/>
        </w:rPr>
      </w:pPr>
      <w:r w:rsidRPr="0071751B">
        <w:rPr>
          <w:shd w:val="clear" w:color="auto" w:fill="FFFFFF"/>
        </w:rPr>
        <w:t xml:space="preserve">No single measure will provide a comprehensive view of progress towards achieving </w:t>
      </w:r>
      <w:r>
        <w:rPr>
          <w:shd w:val="clear" w:color="auto" w:fill="FFFFFF"/>
        </w:rPr>
        <w:t xml:space="preserve">the </w:t>
      </w:r>
      <w:r w:rsidRPr="0071751B">
        <w:rPr>
          <w:shd w:val="clear" w:color="auto" w:fill="FFFFFF"/>
        </w:rPr>
        <w:t xml:space="preserve">strategic outcomes in the Strategy. </w:t>
      </w:r>
      <w:r>
        <w:rPr>
          <w:shd w:val="clear" w:color="auto" w:fill="FFFFFF"/>
        </w:rPr>
        <w:t>A range of</w:t>
      </w:r>
      <w:r w:rsidRPr="0071751B">
        <w:rPr>
          <w:shd w:val="clear" w:color="auto" w:fill="FFFFFF"/>
        </w:rPr>
        <w:t xml:space="preserve"> measures </w:t>
      </w:r>
      <w:r>
        <w:rPr>
          <w:shd w:val="clear" w:color="auto" w:fill="FFFFFF"/>
        </w:rPr>
        <w:t>are</w:t>
      </w:r>
      <w:r w:rsidRPr="0071751B">
        <w:rPr>
          <w:shd w:val="clear" w:color="auto" w:fill="FFFFFF"/>
        </w:rPr>
        <w:t xml:space="preserve"> required. The following fe</w:t>
      </w:r>
      <w:r>
        <w:rPr>
          <w:shd w:val="clear" w:color="auto" w:fill="FFFFFF"/>
        </w:rPr>
        <w:t>atures of the measurement suite</w:t>
      </w:r>
      <w:r w:rsidRPr="0071751B">
        <w:rPr>
          <w:shd w:val="clear" w:color="auto" w:fill="FFFFFF"/>
        </w:rPr>
        <w:t xml:space="preserve"> ensure that </w:t>
      </w:r>
      <w:r>
        <w:rPr>
          <w:shd w:val="clear" w:color="auto" w:fill="FFFFFF"/>
        </w:rPr>
        <w:t>collectively, they</w:t>
      </w:r>
      <w:r w:rsidRPr="0071751B">
        <w:rPr>
          <w:shd w:val="clear" w:color="auto" w:fill="FFFFFF"/>
        </w:rPr>
        <w:t xml:space="preserve"> meet </w:t>
      </w:r>
      <w:r>
        <w:rPr>
          <w:shd w:val="clear" w:color="auto" w:fill="FFFFFF"/>
        </w:rPr>
        <w:t>their purpose</w:t>
      </w:r>
      <w:r w:rsidRPr="0071751B">
        <w:rPr>
          <w:shd w:val="clear" w:color="auto" w:fill="FFFFFF"/>
        </w:rPr>
        <w:t xml:space="preserve">. </w:t>
      </w:r>
    </w:p>
    <w:p w14:paraId="2ABA3C97" w14:textId="77777777" w:rsidR="008C610E" w:rsidRPr="00F208BF" w:rsidRDefault="008C610E" w:rsidP="00BA6315">
      <w:pPr>
        <w:pStyle w:val="Heading3"/>
        <w:rPr>
          <w:shd w:val="clear" w:color="auto" w:fill="FFFFFF"/>
        </w:rPr>
      </w:pPr>
      <w:r w:rsidRPr="00F208BF">
        <w:rPr>
          <w:shd w:val="clear" w:color="auto" w:fill="FFFFFF"/>
        </w:rPr>
        <w:t>Table 2. Guiding criteria for measurement suite</w:t>
      </w:r>
    </w:p>
    <w:tbl>
      <w:tblPr>
        <w:tblStyle w:val="GridTable1Light-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8C610E" w:rsidRPr="00F208BF" w14:paraId="76A0D817" w14:textId="77777777" w:rsidTr="00B71C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bottom w:val="none" w:sz="0" w:space="0" w:color="auto"/>
            </w:tcBorders>
            <w:shd w:val="clear" w:color="auto" w:fill="3D7881"/>
            <w:vAlign w:val="center"/>
          </w:tcPr>
          <w:p w14:paraId="45B3395B" w14:textId="77777777" w:rsidR="008C610E" w:rsidRPr="00F208BF" w:rsidRDefault="008C610E" w:rsidP="00414A0C">
            <w:pPr>
              <w:spacing w:before="80" w:after="80" w:line="257" w:lineRule="auto"/>
              <w:rPr>
                <w:color w:val="FFFFFF" w:themeColor="background1"/>
                <w:sz w:val="18"/>
                <w:szCs w:val="18"/>
              </w:rPr>
            </w:pPr>
            <w:r w:rsidRPr="00F208BF">
              <w:rPr>
                <w:color w:val="FFFFFF" w:themeColor="background1"/>
                <w:sz w:val="18"/>
                <w:szCs w:val="18"/>
              </w:rPr>
              <w:t>Criteria</w:t>
            </w:r>
          </w:p>
        </w:tc>
        <w:tc>
          <w:tcPr>
            <w:tcW w:w="7036" w:type="dxa"/>
            <w:tcBorders>
              <w:bottom w:val="none" w:sz="0" w:space="0" w:color="auto"/>
            </w:tcBorders>
            <w:shd w:val="clear" w:color="auto" w:fill="3D7881"/>
            <w:vAlign w:val="center"/>
          </w:tcPr>
          <w:p w14:paraId="07AC435C" w14:textId="77777777" w:rsidR="008C610E" w:rsidRPr="00F208BF" w:rsidRDefault="008C610E" w:rsidP="00414A0C">
            <w:pPr>
              <w:spacing w:before="80" w:after="80" w:line="257" w:lineRule="auto"/>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F208BF">
              <w:rPr>
                <w:color w:val="FFFFFF" w:themeColor="background1"/>
                <w:sz w:val="18"/>
                <w:szCs w:val="18"/>
              </w:rPr>
              <w:t>Explanation</w:t>
            </w:r>
          </w:p>
        </w:tc>
      </w:tr>
      <w:tr w:rsidR="008C610E" w:rsidRPr="00F208BF" w14:paraId="74265A30" w14:textId="77777777" w:rsidTr="008C610E">
        <w:tc>
          <w:tcPr>
            <w:cnfStyle w:val="001000000000" w:firstRow="0" w:lastRow="0" w:firstColumn="1" w:lastColumn="0" w:oddVBand="0" w:evenVBand="0" w:oddHBand="0" w:evenHBand="0" w:firstRowFirstColumn="0" w:firstRowLastColumn="0" w:lastRowFirstColumn="0" w:lastRowLastColumn="0"/>
            <w:tcW w:w="1980" w:type="dxa"/>
            <w:vAlign w:val="center"/>
          </w:tcPr>
          <w:p w14:paraId="138EE8FD" w14:textId="77777777" w:rsidR="008C610E" w:rsidRPr="00722786" w:rsidRDefault="008C610E" w:rsidP="00414A0C">
            <w:pPr>
              <w:spacing w:before="80" w:after="80" w:line="257" w:lineRule="auto"/>
              <w:rPr>
                <w:sz w:val="18"/>
                <w:szCs w:val="18"/>
              </w:rPr>
            </w:pPr>
            <w:r w:rsidRPr="00722786">
              <w:rPr>
                <w:sz w:val="18"/>
                <w:szCs w:val="18"/>
              </w:rPr>
              <w:t>Holistic</w:t>
            </w:r>
          </w:p>
        </w:tc>
        <w:tc>
          <w:tcPr>
            <w:tcW w:w="7036" w:type="dxa"/>
            <w:vAlign w:val="center"/>
          </w:tcPr>
          <w:p w14:paraId="6C8CE47C" w14:textId="77777777" w:rsidR="008C610E" w:rsidRPr="00F208BF" w:rsidRDefault="008C610E" w:rsidP="00414A0C">
            <w:pPr>
              <w:spacing w:before="80" w:after="80" w:line="257" w:lineRule="auto"/>
              <w:cnfStyle w:val="000000000000" w:firstRow="0" w:lastRow="0" w:firstColumn="0" w:lastColumn="0" w:oddVBand="0" w:evenVBand="0" w:oddHBand="0" w:evenHBand="0" w:firstRowFirstColumn="0" w:firstRowLastColumn="0" w:lastRowFirstColumn="0" w:lastRowLastColumn="0"/>
              <w:rPr>
                <w:sz w:val="18"/>
                <w:szCs w:val="18"/>
              </w:rPr>
            </w:pPr>
            <w:r w:rsidRPr="00F208BF">
              <w:rPr>
                <w:sz w:val="18"/>
                <w:szCs w:val="18"/>
              </w:rPr>
              <w:t xml:space="preserve">The suite of measures should cover multiple components of the measurement model. That is, they should include a mix of leading and lagging indicators; pre-injury, post-injury and outcomes indicators, and indicators across the four domains. </w:t>
            </w:r>
          </w:p>
        </w:tc>
      </w:tr>
      <w:tr w:rsidR="008C610E" w:rsidRPr="00F208BF" w14:paraId="228C04D3" w14:textId="77777777" w:rsidTr="008C610E">
        <w:tc>
          <w:tcPr>
            <w:cnfStyle w:val="001000000000" w:firstRow="0" w:lastRow="0" w:firstColumn="1" w:lastColumn="0" w:oddVBand="0" w:evenVBand="0" w:oddHBand="0" w:evenHBand="0" w:firstRowFirstColumn="0" w:firstRowLastColumn="0" w:lastRowFirstColumn="0" w:lastRowLastColumn="0"/>
            <w:tcW w:w="1980" w:type="dxa"/>
            <w:vAlign w:val="center"/>
          </w:tcPr>
          <w:p w14:paraId="7E5EC810" w14:textId="77777777" w:rsidR="008C610E" w:rsidRPr="00722786" w:rsidRDefault="008C610E" w:rsidP="00414A0C">
            <w:pPr>
              <w:spacing w:before="80" w:after="80" w:line="257" w:lineRule="auto"/>
              <w:rPr>
                <w:sz w:val="18"/>
                <w:szCs w:val="18"/>
              </w:rPr>
            </w:pPr>
            <w:r w:rsidRPr="00722786">
              <w:rPr>
                <w:sz w:val="18"/>
                <w:szCs w:val="18"/>
              </w:rPr>
              <w:t>Focused</w:t>
            </w:r>
          </w:p>
        </w:tc>
        <w:tc>
          <w:tcPr>
            <w:tcW w:w="7036" w:type="dxa"/>
            <w:vAlign w:val="center"/>
          </w:tcPr>
          <w:p w14:paraId="152E0BEB" w14:textId="77777777" w:rsidR="008C610E" w:rsidRPr="00F208BF" w:rsidRDefault="008C610E" w:rsidP="00414A0C">
            <w:pPr>
              <w:spacing w:before="80" w:after="80" w:line="257" w:lineRule="auto"/>
              <w:cnfStyle w:val="000000000000" w:firstRow="0" w:lastRow="0" w:firstColumn="0" w:lastColumn="0" w:oddVBand="0" w:evenVBand="0" w:oddHBand="0" w:evenHBand="0" w:firstRowFirstColumn="0" w:firstRowLastColumn="0" w:lastRowFirstColumn="0" w:lastRowLastColumn="0"/>
              <w:rPr>
                <w:sz w:val="18"/>
                <w:szCs w:val="18"/>
              </w:rPr>
            </w:pPr>
            <w:r w:rsidRPr="00F208BF">
              <w:rPr>
                <w:sz w:val="18"/>
                <w:szCs w:val="18"/>
              </w:rPr>
              <w:t xml:space="preserve">There should not be an extensive list of measures. Having too many measures makes it difficult to focus attention on the most important areas for improvement. Having too few runs the risk of missing important changes in performance. </w:t>
            </w:r>
          </w:p>
        </w:tc>
      </w:tr>
      <w:tr w:rsidR="008C610E" w:rsidRPr="00F208BF" w14:paraId="5EC61DE8" w14:textId="77777777" w:rsidTr="008C610E">
        <w:tc>
          <w:tcPr>
            <w:cnfStyle w:val="001000000000" w:firstRow="0" w:lastRow="0" w:firstColumn="1" w:lastColumn="0" w:oddVBand="0" w:evenVBand="0" w:oddHBand="0" w:evenHBand="0" w:firstRowFirstColumn="0" w:firstRowLastColumn="0" w:lastRowFirstColumn="0" w:lastRowLastColumn="0"/>
            <w:tcW w:w="1980" w:type="dxa"/>
            <w:vAlign w:val="center"/>
          </w:tcPr>
          <w:p w14:paraId="70A1CCF2" w14:textId="77777777" w:rsidR="008C610E" w:rsidRPr="00722786" w:rsidRDefault="008C610E" w:rsidP="00414A0C">
            <w:pPr>
              <w:spacing w:before="80" w:after="80" w:line="257" w:lineRule="auto"/>
              <w:rPr>
                <w:sz w:val="18"/>
                <w:szCs w:val="18"/>
              </w:rPr>
            </w:pPr>
            <w:r w:rsidRPr="00722786">
              <w:rPr>
                <w:sz w:val="18"/>
                <w:szCs w:val="18"/>
              </w:rPr>
              <w:t>Mixed Sources</w:t>
            </w:r>
          </w:p>
        </w:tc>
        <w:tc>
          <w:tcPr>
            <w:tcW w:w="7036" w:type="dxa"/>
            <w:vAlign w:val="center"/>
          </w:tcPr>
          <w:p w14:paraId="0A4045E5" w14:textId="77777777" w:rsidR="008C610E" w:rsidRPr="00F208BF" w:rsidRDefault="008C610E" w:rsidP="00414A0C">
            <w:pPr>
              <w:spacing w:before="80" w:after="80" w:line="257" w:lineRule="auto"/>
              <w:cnfStyle w:val="000000000000" w:firstRow="0" w:lastRow="0" w:firstColumn="0" w:lastColumn="0" w:oddVBand="0" w:evenVBand="0" w:oddHBand="0" w:evenHBand="0" w:firstRowFirstColumn="0" w:firstRowLastColumn="0" w:lastRowFirstColumn="0" w:lastRowLastColumn="0"/>
              <w:rPr>
                <w:sz w:val="18"/>
                <w:szCs w:val="18"/>
              </w:rPr>
            </w:pPr>
            <w:r w:rsidRPr="00F208BF">
              <w:rPr>
                <w:sz w:val="18"/>
                <w:szCs w:val="18"/>
              </w:rPr>
              <w:t>Measures should be derived from a mix of data sources to provide multiple perspectives on performance. This can include both quantitative and qualitative data collected from workers, employers, insurers, and others involved in the Australian return to work proces</w:t>
            </w:r>
            <w:r w:rsidR="00722786">
              <w:rPr>
                <w:sz w:val="18"/>
                <w:szCs w:val="18"/>
              </w:rPr>
              <w:t>ses.</w:t>
            </w:r>
          </w:p>
        </w:tc>
      </w:tr>
      <w:tr w:rsidR="008C610E" w:rsidRPr="00F208BF" w14:paraId="3BB4B652" w14:textId="77777777" w:rsidTr="008C610E">
        <w:tc>
          <w:tcPr>
            <w:cnfStyle w:val="001000000000" w:firstRow="0" w:lastRow="0" w:firstColumn="1" w:lastColumn="0" w:oddVBand="0" w:evenVBand="0" w:oddHBand="0" w:evenHBand="0" w:firstRowFirstColumn="0" w:firstRowLastColumn="0" w:lastRowFirstColumn="0" w:lastRowLastColumn="0"/>
            <w:tcW w:w="1980" w:type="dxa"/>
            <w:vAlign w:val="center"/>
          </w:tcPr>
          <w:p w14:paraId="71764490" w14:textId="77777777" w:rsidR="008C610E" w:rsidRPr="00722786" w:rsidRDefault="008C610E" w:rsidP="00414A0C">
            <w:pPr>
              <w:spacing w:before="80" w:after="80" w:line="257" w:lineRule="auto"/>
              <w:rPr>
                <w:sz w:val="18"/>
                <w:szCs w:val="18"/>
              </w:rPr>
            </w:pPr>
            <w:r w:rsidRPr="00722786">
              <w:rPr>
                <w:sz w:val="18"/>
                <w:szCs w:val="18"/>
              </w:rPr>
              <w:t>Effort - Reward</w:t>
            </w:r>
          </w:p>
        </w:tc>
        <w:tc>
          <w:tcPr>
            <w:tcW w:w="7036" w:type="dxa"/>
            <w:vAlign w:val="center"/>
          </w:tcPr>
          <w:p w14:paraId="61314F1B" w14:textId="77777777" w:rsidR="008C610E" w:rsidRPr="00F208BF" w:rsidRDefault="008C610E" w:rsidP="00414A0C">
            <w:pPr>
              <w:spacing w:before="80" w:after="80" w:line="257" w:lineRule="auto"/>
              <w:cnfStyle w:val="000000000000" w:firstRow="0" w:lastRow="0" w:firstColumn="0" w:lastColumn="0" w:oddVBand="0" w:evenVBand="0" w:oddHBand="0" w:evenHBand="0" w:firstRowFirstColumn="0" w:firstRowLastColumn="0" w:lastRowFirstColumn="0" w:lastRowLastColumn="0"/>
              <w:rPr>
                <w:sz w:val="18"/>
                <w:szCs w:val="18"/>
              </w:rPr>
            </w:pPr>
            <w:r w:rsidRPr="00F208BF">
              <w:rPr>
                <w:sz w:val="18"/>
                <w:szCs w:val="18"/>
              </w:rPr>
              <w:t xml:space="preserve">The effort involved in collating, analysing and reporting on data should be minimised where possible. This means that data should already be collected, or able to be collected, on a regular basis for </w:t>
            </w:r>
            <w:proofErr w:type="gramStart"/>
            <w:r w:rsidRPr="00F208BF">
              <w:rPr>
                <w:sz w:val="18"/>
                <w:szCs w:val="18"/>
              </w:rPr>
              <w:t>the majority of</w:t>
            </w:r>
            <w:proofErr w:type="gramEnd"/>
            <w:r w:rsidRPr="00F208BF">
              <w:rPr>
                <w:sz w:val="18"/>
                <w:szCs w:val="18"/>
              </w:rPr>
              <w:t xml:space="preserve"> measures. Collecting additional data from new sources may be warranted if they provide novel information not otherwise available.  </w:t>
            </w:r>
          </w:p>
        </w:tc>
      </w:tr>
    </w:tbl>
    <w:p w14:paraId="1EC336C4" w14:textId="77777777" w:rsidR="00893417" w:rsidRPr="0071751B" w:rsidRDefault="008C610E" w:rsidP="008C610E">
      <w:pPr>
        <w:pStyle w:val="Heading1"/>
      </w:pPr>
      <w:r>
        <w:br w:type="page"/>
      </w:r>
      <w:r w:rsidR="00893417">
        <w:lastRenderedPageBreak/>
        <w:t>National d</w:t>
      </w:r>
      <w:r w:rsidR="00893417" w:rsidRPr="0071751B">
        <w:t xml:space="preserve">ata </w:t>
      </w:r>
      <w:r w:rsidR="00893417">
        <w:t>s</w:t>
      </w:r>
      <w:r w:rsidR="00893417" w:rsidRPr="0071751B">
        <w:t>ources</w:t>
      </w:r>
    </w:p>
    <w:p w14:paraId="4218C1EA" w14:textId="796308DF" w:rsidR="00893417" w:rsidRDefault="00893417" w:rsidP="008C610E">
      <w:pPr>
        <w:rPr>
          <w:szCs w:val="20"/>
          <w:shd w:val="clear" w:color="auto" w:fill="FFFFFF"/>
        </w:rPr>
      </w:pPr>
      <w:r w:rsidRPr="0071751B">
        <w:rPr>
          <w:shd w:val="clear" w:color="auto" w:fill="FFFFFF"/>
        </w:rPr>
        <w:t xml:space="preserve">Australia has multiple data sources with national coverage that pertain to workers’ compensation or work-related injury, and that provide information on the lagging or leading indicators of </w:t>
      </w:r>
      <w:r w:rsidRPr="00A300E5">
        <w:rPr>
          <w:shd w:val="clear" w:color="auto" w:fill="FFFFFF"/>
        </w:rPr>
        <w:t>return to work</w:t>
      </w:r>
      <w:r w:rsidRPr="0071751B">
        <w:rPr>
          <w:shd w:val="clear" w:color="auto" w:fill="FFFFFF"/>
        </w:rPr>
        <w:t xml:space="preserve">. </w:t>
      </w:r>
      <w:r w:rsidRPr="008C610E">
        <w:rPr>
          <w:rStyle w:val="IWHGBodycopyChar"/>
          <w:b w:val="0"/>
          <w:szCs w:val="20"/>
        </w:rPr>
        <w:t xml:space="preserve">The two primary data sources that are routinely collected, have national coverage and provide information across multiple domains of the measurement model are the </w:t>
      </w:r>
      <w:hyperlink r:id="rId13" w:history="1">
        <w:r w:rsidR="00E93017">
          <w:rPr>
            <w:rStyle w:val="Hyperlink"/>
            <w:szCs w:val="20"/>
            <w:shd w:val="clear" w:color="auto" w:fill="FFFFFF"/>
          </w:rPr>
          <w:t>National Data Set for Compensation-based Statistics (NDS)</w:t>
        </w:r>
      </w:hyperlink>
      <w:r w:rsidRPr="00722786">
        <w:rPr>
          <w:szCs w:val="20"/>
          <w:shd w:val="clear" w:color="auto" w:fill="FFFFFF"/>
        </w:rPr>
        <w:t xml:space="preserve"> </w:t>
      </w:r>
      <w:r w:rsidRPr="00722786">
        <w:rPr>
          <w:rStyle w:val="IWHGBodycopyChar"/>
          <w:b w:val="0"/>
          <w:szCs w:val="20"/>
        </w:rPr>
        <w:t>and the</w:t>
      </w:r>
      <w:r w:rsidRPr="00722786">
        <w:rPr>
          <w:szCs w:val="20"/>
          <w:shd w:val="clear" w:color="auto" w:fill="FFFFFF"/>
        </w:rPr>
        <w:t xml:space="preserve"> </w:t>
      </w:r>
      <w:hyperlink r:id="rId14" w:history="1">
        <w:r w:rsidRPr="00722786">
          <w:rPr>
            <w:rStyle w:val="Hyperlink"/>
            <w:szCs w:val="20"/>
            <w:shd w:val="clear" w:color="auto" w:fill="FFFFFF"/>
          </w:rPr>
          <w:t>National Return to Work Survey (NRTWS)</w:t>
        </w:r>
      </w:hyperlink>
      <w:r w:rsidRPr="00722786">
        <w:rPr>
          <w:szCs w:val="20"/>
          <w:shd w:val="clear" w:color="auto" w:fill="FFFFFF"/>
        </w:rPr>
        <w:t xml:space="preserve">. </w:t>
      </w:r>
    </w:p>
    <w:p w14:paraId="4AD3F723" w14:textId="46F6C2B2" w:rsidR="00893417" w:rsidRPr="000F51C9" w:rsidRDefault="00893417" w:rsidP="000F51C9">
      <w:pPr>
        <w:rPr>
          <w:shd w:val="clear" w:color="auto" w:fill="FFFFFF"/>
        </w:rPr>
      </w:pPr>
      <w:r w:rsidRPr="0071751B">
        <w:rPr>
          <w:shd w:val="clear" w:color="auto" w:fill="FFFFFF"/>
        </w:rPr>
        <w:t>In addition, there are data sour</w:t>
      </w:r>
      <w:r>
        <w:rPr>
          <w:shd w:val="clear" w:color="auto" w:fill="FFFFFF"/>
        </w:rPr>
        <w:t xml:space="preserve">ces under development that may </w:t>
      </w:r>
      <w:r w:rsidRPr="0071751B">
        <w:rPr>
          <w:shd w:val="clear" w:color="auto" w:fill="FFFFFF"/>
        </w:rPr>
        <w:t>provide valuable additional information</w:t>
      </w:r>
      <w:r>
        <w:rPr>
          <w:shd w:val="clear" w:color="auto" w:fill="FFFFFF"/>
        </w:rPr>
        <w:t xml:space="preserve"> in the future</w:t>
      </w:r>
      <w:r w:rsidRPr="0071751B">
        <w:rPr>
          <w:shd w:val="clear" w:color="auto" w:fill="FFFFFF"/>
        </w:rPr>
        <w:t>. There are also gaps in national data that</w:t>
      </w:r>
      <w:r>
        <w:rPr>
          <w:shd w:val="clear" w:color="auto" w:fill="FFFFFF"/>
        </w:rPr>
        <w:t>,</w:t>
      </w:r>
      <w:r w:rsidRPr="0071751B">
        <w:rPr>
          <w:shd w:val="clear" w:color="auto" w:fill="FFFFFF"/>
        </w:rPr>
        <w:t xml:space="preserve"> if addressed</w:t>
      </w:r>
      <w:r>
        <w:rPr>
          <w:shd w:val="clear" w:color="auto" w:fill="FFFFFF"/>
        </w:rPr>
        <w:t>,</w:t>
      </w:r>
      <w:r w:rsidRPr="0071751B">
        <w:rPr>
          <w:shd w:val="clear" w:color="auto" w:fill="FFFFFF"/>
        </w:rPr>
        <w:t xml:space="preserve"> may provide further valuable information for monitoring performance.</w:t>
      </w:r>
      <w:r>
        <w:rPr>
          <w:shd w:val="clear" w:color="auto" w:fill="FFFFFF"/>
        </w:rPr>
        <w:t xml:space="preserve"> </w:t>
      </w:r>
      <w:r w:rsidRPr="008E3B23">
        <w:t xml:space="preserve">More information </w:t>
      </w:r>
      <w:r w:rsidR="00F507B5" w:rsidRPr="008E3B23">
        <w:t xml:space="preserve">can be found </w:t>
      </w:r>
      <w:r w:rsidR="00F507B5" w:rsidRPr="00974C7A">
        <w:t xml:space="preserve">on </w:t>
      </w:r>
      <w:r w:rsidR="00F507B5" w:rsidRPr="00974C7A">
        <w:rPr>
          <w:b/>
        </w:rPr>
        <w:t xml:space="preserve">pages </w:t>
      </w:r>
      <w:r w:rsidR="00974C7A" w:rsidRPr="00974C7A">
        <w:rPr>
          <w:b/>
        </w:rPr>
        <w:t>10 and 11</w:t>
      </w:r>
      <w:r w:rsidRPr="00974C7A">
        <w:t>.</w:t>
      </w:r>
    </w:p>
    <w:p w14:paraId="40BCDE58" w14:textId="77777777" w:rsidR="00893417" w:rsidRDefault="00893417" w:rsidP="008C610E">
      <w:pPr>
        <w:pStyle w:val="Heading1"/>
      </w:pPr>
      <w:r>
        <w:t>National performance measures</w:t>
      </w:r>
    </w:p>
    <w:p w14:paraId="5990135D" w14:textId="77777777" w:rsidR="00604E40" w:rsidRDefault="00893417" w:rsidP="008C610E">
      <w:r w:rsidRPr="00C76DB0">
        <w:t xml:space="preserve">The national performance measures are ‘descriptive </w:t>
      </w:r>
      <w:proofErr w:type="gramStart"/>
      <w:r w:rsidRPr="00C76DB0">
        <w:t>statistics’</w:t>
      </w:r>
      <w:proofErr w:type="gramEnd"/>
      <w:r w:rsidRPr="00C76DB0">
        <w:t>. This is a term given to the analysis of data that helps describe or summari</w:t>
      </w:r>
      <w:r>
        <w:t>s</w:t>
      </w:r>
      <w:r w:rsidRPr="00C76DB0">
        <w:t>e data in a meaningful way. The framework involves</w:t>
      </w:r>
      <w:r w:rsidR="00A03A27">
        <w:t xml:space="preserve"> the</w:t>
      </w:r>
      <w:r w:rsidRPr="00C76DB0">
        <w:t xml:space="preserve"> use of descriptive statistics in a way that we can observe patterns emerging from the data, for example changes in national performance measures over time. Descriptive statistics are very useful for monitoring trends, and they provide a method of presenting data in a meaningful way, which allows easy interpretation of the data. </w:t>
      </w:r>
      <w:bookmarkStart w:id="0" w:name="_Hlk40269542"/>
    </w:p>
    <w:bookmarkEnd w:id="0"/>
    <w:p w14:paraId="36D40D9F" w14:textId="592A846B" w:rsidR="007538D0" w:rsidRDefault="007538D0" w:rsidP="008C610E">
      <w:r w:rsidRPr="000F51C9">
        <w:rPr>
          <w:b/>
        </w:rPr>
        <w:t>Tables 3 and 4</w:t>
      </w:r>
      <w:r w:rsidRPr="008C610E">
        <w:t xml:space="preserve"> </w:t>
      </w:r>
      <w:r w:rsidRPr="00EC70C7">
        <w:rPr>
          <w:shd w:val="clear" w:color="auto" w:fill="FFFFFF"/>
        </w:rPr>
        <w:t xml:space="preserve">provide a rationale for each measure selected for inclusion in the </w:t>
      </w:r>
      <w:r>
        <w:rPr>
          <w:shd w:val="clear" w:color="auto" w:fill="FFFFFF"/>
        </w:rPr>
        <w:t>f</w:t>
      </w:r>
      <w:r w:rsidRPr="00EC70C7">
        <w:rPr>
          <w:shd w:val="clear" w:color="auto" w:fill="FFFFFF"/>
        </w:rPr>
        <w:t>ramework.</w:t>
      </w:r>
      <w:bookmarkStart w:id="1" w:name="_Hlk40871739"/>
      <w:r w:rsidR="00604E40" w:rsidRPr="00604E40">
        <w:t xml:space="preserve"> </w:t>
      </w:r>
      <w:r w:rsidR="00604E40">
        <w:t>The title given to each measure (</w:t>
      </w:r>
      <w:r w:rsidR="00604E40" w:rsidRPr="0093586D">
        <w:t>e.g. ‘</w:t>
      </w:r>
      <w:r w:rsidR="00604E40">
        <w:t>t</w:t>
      </w:r>
      <w:r w:rsidR="00604E40" w:rsidRPr="0093586D">
        <w:t>imely return to work’</w:t>
      </w:r>
      <w:r w:rsidR="00604E40">
        <w:t>)</w:t>
      </w:r>
      <w:r w:rsidR="00604E40" w:rsidRPr="0093586D">
        <w:t xml:space="preserve"> </w:t>
      </w:r>
      <w:r w:rsidR="00604E40">
        <w:t>has been guided by the Strategy’s vision and strategic outcomes</w:t>
      </w:r>
      <w:r w:rsidR="00604E40" w:rsidRPr="0093586D">
        <w:t>.</w:t>
      </w:r>
      <w:r w:rsidR="00604E40">
        <w:t xml:space="preserve"> These titles are general descriptors and </w:t>
      </w:r>
      <w:r w:rsidR="00604E40" w:rsidRPr="0093586D">
        <w:t>are not intended to be value judgement</w:t>
      </w:r>
      <w:r w:rsidR="00604E40">
        <w:t>s.</w:t>
      </w:r>
      <w:bookmarkEnd w:id="1"/>
    </w:p>
    <w:p w14:paraId="001B6A93" w14:textId="457FD29F" w:rsidR="00893417" w:rsidRDefault="00893417" w:rsidP="008C610E">
      <w:r>
        <w:t>On occasion,</w:t>
      </w:r>
      <w:r w:rsidRPr="00C76DB0">
        <w:t xml:space="preserve"> it may be valuable to supplement regular reporting of national performance measures with more detailed investigation on specific topics. This may occur, for instance, where </w:t>
      </w:r>
      <w:r w:rsidR="00F963DC">
        <w:t>a</w:t>
      </w:r>
      <w:r w:rsidRPr="00C76DB0">
        <w:t xml:space="preserve"> measure suggests a rapid deterioration or improvement in performance, or where Safe Work Australia or other return to work stakeholders independently identify topics requiring </w:t>
      </w:r>
      <w:r w:rsidR="00604E40">
        <w:t xml:space="preserve">further </w:t>
      </w:r>
      <w:r w:rsidRPr="00C76DB0">
        <w:t xml:space="preserve">investigation. </w:t>
      </w:r>
    </w:p>
    <w:p w14:paraId="36D44CC4" w14:textId="77777777" w:rsidR="00893417" w:rsidRDefault="00893417" w:rsidP="008C610E">
      <w:pPr>
        <w:pStyle w:val="Heading1"/>
      </w:pPr>
      <w:r>
        <w:t>National performance objectives</w:t>
      </w:r>
    </w:p>
    <w:p w14:paraId="0991BA00" w14:textId="462471D4" w:rsidR="007538D0" w:rsidRDefault="007538D0" w:rsidP="008C610E">
      <w:r w:rsidRPr="008C610E">
        <w:t xml:space="preserve">In addition to </w:t>
      </w:r>
      <w:r w:rsidR="00F963DC">
        <w:t>providing a</w:t>
      </w:r>
      <w:r w:rsidRPr="008C610E">
        <w:t xml:space="preserve"> rationale for each measure selected for the </w:t>
      </w:r>
      <w:r>
        <w:t>f</w:t>
      </w:r>
      <w:r w:rsidRPr="008C610E">
        <w:t xml:space="preserve">ramework, </w:t>
      </w:r>
      <w:r w:rsidRPr="000F51C9">
        <w:rPr>
          <w:b/>
        </w:rPr>
        <w:t>Tables 3 and 4</w:t>
      </w:r>
      <w:r w:rsidRPr="008C610E">
        <w:t xml:space="preserve"> </w:t>
      </w:r>
      <w:r>
        <w:t xml:space="preserve">also </w:t>
      </w:r>
      <w:r w:rsidRPr="008C610E">
        <w:t xml:space="preserve">provide initial performance objectives for each measure. The objectives </w:t>
      </w:r>
      <w:r w:rsidRPr="008C610E">
        <w:rPr>
          <w:rStyle w:val="IWHGBodycopyChar"/>
          <w:b w:val="0"/>
        </w:rPr>
        <w:t>indicate the direction and scope of positive change for each measure</w:t>
      </w:r>
      <w:r>
        <w:t>.</w:t>
      </w:r>
    </w:p>
    <w:p w14:paraId="369935BE" w14:textId="2C9CF512" w:rsidR="00893417" w:rsidRDefault="00893417" w:rsidP="008C610E">
      <w:r w:rsidRPr="006D5F3E">
        <w:t>Substantial care is required when setting performance objectives</w:t>
      </w:r>
      <w:r>
        <w:t xml:space="preserve"> for the selected measures</w:t>
      </w:r>
      <w:r w:rsidRPr="006D5F3E">
        <w:t xml:space="preserve">. There is a growing body of evidence </w:t>
      </w:r>
      <w:r w:rsidR="00A03A27">
        <w:t xml:space="preserve">indicating </w:t>
      </w:r>
      <w:r w:rsidRPr="006D5F3E">
        <w:t xml:space="preserve">that performance goal setting can have unintended, negative consequences. These can include </w:t>
      </w:r>
      <w:r w:rsidRPr="00DA390C">
        <w:rPr>
          <w:color w:val="181818"/>
        </w:rPr>
        <w:t xml:space="preserve">a narrow focus that neglects focus on non-measured areas, </w:t>
      </w:r>
      <w:r w:rsidRPr="006D5F3E">
        <w:t xml:space="preserve">potential for unethical behaviour and </w:t>
      </w:r>
      <w:r w:rsidRPr="00A837D9">
        <w:t xml:space="preserve">distortion of risk preferences. These risks may be exacerbated when there are a small number of objectives, or single objectives. </w:t>
      </w:r>
    </w:p>
    <w:p w14:paraId="1EBA4EA0" w14:textId="7F2FB6F1" w:rsidR="00893417" w:rsidRDefault="00893417" w:rsidP="008C610E">
      <w:r>
        <w:t xml:space="preserve">The potential for negative behaviour can be reduced by having a range of performance objectives across multiple measures, and by avoiding very specific targets that may drive behaviour to a </w:t>
      </w:r>
      <w:r w:rsidR="000F51C9">
        <w:br/>
      </w:r>
      <w:r>
        <w:t xml:space="preserve">pre-determined outcome. It is possible to describe a performance objective without setting a specific ‘target’, by defining the direction of a positive change in performance and the scope for that change to occur. We can also identify the </w:t>
      </w:r>
      <w:r w:rsidR="000F51C9">
        <w:t>stakeholders</w:t>
      </w:r>
      <w:r>
        <w:t xml:space="preserve"> with the most ability to lead a positive change. </w:t>
      </w:r>
    </w:p>
    <w:p w14:paraId="4AB971CF" w14:textId="7ACA2A97" w:rsidR="008D1A17" w:rsidRDefault="00893417" w:rsidP="007538D0">
      <w:pPr>
        <w:sectPr w:rsidR="008D1A17" w:rsidSect="00264E9F">
          <w:footerReference w:type="default" r:id="rId15"/>
          <w:headerReference w:type="first" r:id="rId16"/>
          <w:footerReference w:type="first" r:id="rId17"/>
          <w:pgSz w:w="11906" w:h="16838"/>
          <w:pgMar w:top="2127" w:right="1440" w:bottom="1134" w:left="1440" w:header="794" w:footer="273" w:gutter="0"/>
          <w:pgNumType w:start="1"/>
          <w:cols w:space="708"/>
          <w:docGrid w:linePitch="360"/>
        </w:sectPr>
      </w:pPr>
      <w:r w:rsidRPr="005D39A9">
        <w:t xml:space="preserve">The ability of the </w:t>
      </w:r>
      <w:r>
        <w:t>return to work</w:t>
      </w:r>
      <w:r w:rsidRPr="005D39A9">
        <w:t xml:space="preserve"> stakeholders to influence the national measures will vary according to the nature of the measure. Some are best addressed by insurers or claims management </w:t>
      </w:r>
      <w:r w:rsidRPr="005D39A9">
        <w:lastRenderedPageBreak/>
        <w:t>organisations, some by employers and others by healthcare providers. In some cases, notably with the lagging indicators, multiple stakeholders will need to act for national performance to change.</w:t>
      </w:r>
    </w:p>
    <w:p w14:paraId="629D3098" w14:textId="77777777" w:rsidR="008D1A17" w:rsidRPr="00B67E71" w:rsidRDefault="008D1A17" w:rsidP="00BA6315">
      <w:pPr>
        <w:pStyle w:val="Heading3"/>
        <w:ind w:left="-567"/>
        <w:rPr>
          <w:sz w:val="16"/>
          <w:highlight w:val="yellow"/>
        </w:rPr>
      </w:pPr>
      <w:r w:rsidRPr="00B67E71">
        <w:lastRenderedPageBreak/>
        <w:t xml:space="preserve">Table 3. National performance </w:t>
      </w:r>
      <w:r w:rsidR="007538D0">
        <w:t xml:space="preserve">measures and </w:t>
      </w:r>
      <w:r w:rsidRPr="00B67E71">
        <w:t>objectives: lagging indicators</w:t>
      </w:r>
      <w:r w:rsidR="00A30E71">
        <w:t xml:space="preserve"> </w:t>
      </w:r>
      <w:r w:rsidR="00A30E71" w:rsidRPr="00A30E71">
        <w:t xml:space="preserve">(recovery and return to work outcomes) </w:t>
      </w:r>
    </w:p>
    <w:tbl>
      <w:tblPr>
        <w:tblStyle w:val="GridTable4-Accent13"/>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92"/>
        <w:gridCol w:w="992"/>
        <w:gridCol w:w="2693"/>
        <w:gridCol w:w="6379"/>
        <w:gridCol w:w="1205"/>
        <w:gridCol w:w="1205"/>
      </w:tblGrid>
      <w:tr w:rsidR="008D1A17" w:rsidRPr="000C234D" w14:paraId="1C7FEDD5" w14:textId="77777777" w:rsidTr="00290ED3">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bottom w:val="nil"/>
              <w:right w:val="none" w:sz="0" w:space="0" w:color="auto"/>
            </w:tcBorders>
            <w:shd w:val="clear" w:color="auto" w:fill="3D7881"/>
            <w:vAlign w:val="center"/>
          </w:tcPr>
          <w:p w14:paraId="435E1674" w14:textId="77777777" w:rsidR="008D1A17" w:rsidRPr="000C234D" w:rsidRDefault="008D1A17" w:rsidP="00A14123">
            <w:pPr>
              <w:tabs>
                <w:tab w:val="left" w:pos="6691"/>
              </w:tabs>
              <w:rPr>
                <w:rFonts w:cs="Arial"/>
                <w:b w:val="0"/>
                <w:sz w:val="18"/>
                <w:szCs w:val="18"/>
              </w:rPr>
            </w:pPr>
          </w:p>
        </w:tc>
        <w:tc>
          <w:tcPr>
            <w:tcW w:w="992" w:type="dxa"/>
            <w:tcBorders>
              <w:top w:val="none" w:sz="0" w:space="0" w:color="auto"/>
              <w:left w:val="none" w:sz="0" w:space="0" w:color="auto"/>
              <w:bottom w:val="nil"/>
              <w:right w:val="none" w:sz="0" w:space="0" w:color="auto"/>
            </w:tcBorders>
            <w:shd w:val="clear" w:color="auto" w:fill="3D7881"/>
            <w:vAlign w:val="center"/>
          </w:tcPr>
          <w:p w14:paraId="0B9034D0" w14:textId="77777777" w:rsidR="008D1A17" w:rsidRPr="000C234D" w:rsidRDefault="008D1A17" w:rsidP="00A14123">
            <w:pPr>
              <w:tabs>
                <w:tab w:val="left" w:pos="6691"/>
              </w:tabs>
              <w:cnfStyle w:val="100000000000" w:firstRow="1" w:lastRow="0" w:firstColumn="0" w:lastColumn="0" w:oddVBand="0" w:evenVBand="0" w:oddHBand="0" w:evenHBand="0" w:firstRowFirstColumn="0" w:firstRowLastColumn="0" w:lastRowFirstColumn="0" w:lastRowLastColumn="0"/>
              <w:rPr>
                <w:rFonts w:cs="Arial"/>
                <w:b w:val="0"/>
                <w:sz w:val="18"/>
                <w:szCs w:val="18"/>
              </w:rPr>
            </w:pPr>
          </w:p>
        </w:tc>
        <w:tc>
          <w:tcPr>
            <w:tcW w:w="992" w:type="dxa"/>
            <w:tcBorders>
              <w:top w:val="none" w:sz="0" w:space="0" w:color="auto"/>
              <w:left w:val="none" w:sz="0" w:space="0" w:color="auto"/>
              <w:bottom w:val="nil"/>
              <w:right w:val="none" w:sz="0" w:space="0" w:color="auto"/>
            </w:tcBorders>
            <w:shd w:val="clear" w:color="auto" w:fill="3D7881"/>
          </w:tcPr>
          <w:p w14:paraId="3646CCC8" w14:textId="77777777" w:rsidR="008D1A17" w:rsidRPr="000C234D" w:rsidRDefault="008D1A17" w:rsidP="00A14123">
            <w:pPr>
              <w:tabs>
                <w:tab w:val="left" w:pos="6691"/>
              </w:tabs>
              <w:cnfStyle w:val="100000000000" w:firstRow="1" w:lastRow="0" w:firstColumn="0" w:lastColumn="0" w:oddVBand="0" w:evenVBand="0" w:oddHBand="0" w:evenHBand="0" w:firstRowFirstColumn="0" w:firstRowLastColumn="0" w:lastRowFirstColumn="0" w:lastRowLastColumn="0"/>
              <w:rPr>
                <w:rFonts w:cs="Arial"/>
                <w:b w:val="0"/>
                <w:sz w:val="18"/>
                <w:szCs w:val="18"/>
              </w:rPr>
            </w:pPr>
          </w:p>
        </w:tc>
        <w:tc>
          <w:tcPr>
            <w:tcW w:w="2693" w:type="dxa"/>
            <w:tcBorders>
              <w:top w:val="none" w:sz="0" w:space="0" w:color="auto"/>
              <w:left w:val="none" w:sz="0" w:space="0" w:color="auto"/>
              <w:bottom w:val="nil"/>
              <w:right w:val="none" w:sz="0" w:space="0" w:color="auto"/>
            </w:tcBorders>
            <w:shd w:val="clear" w:color="auto" w:fill="3D7881"/>
            <w:vAlign w:val="center"/>
          </w:tcPr>
          <w:p w14:paraId="552AD77E" w14:textId="77777777" w:rsidR="008D1A17" w:rsidRPr="000C234D" w:rsidRDefault="008D1A17" w:rsidP="00A14123">
            <w:pPr>
              <w:tabs>
                <w:tab w:val="left" w:pos="6691"/>
              </w:tabs>
              <w:cnfStyle w:val="100000000000" w:firstRow="1" w:lastRow="0" w:firstColumn="0" w:lastColumn="0" w:oddVBand="0" w:evenVBand="0" w:oddHBand="0" w:evenHBand="0" w:firstRowFirstColumn="0" w:firstRowLastColumn="0" w:lastRowFirstColumn="0" w:lastRowLastColumn="0"/>
              <w:rPr>
                <w:rFonts w:cs="Arial"/>
                <w:b w:val="0"/>
                <w:sz w:val="18"/>
                <w:szCs w:val="18"/>
              </w:rPr>
            </w:pPr>
          </w:p>
        </w:tc>
        <w:tc>
          <w:tcPr>
            <w:tcW w:w="6379" w:type="dxa"/>
            <w:tcBorders>
              <w:top w:val="none" w:sz="0" w:space="0" w:color="auto"/>
              <w:left w:val="none" w:sz="0" w:space="0" w:color="auto"/>
              <w:bottom w:val="nil"/>
              <w:right w:val="none" w:sz="0" w:space="0" w:color="auto"/>
            </w:tcBorders>
            <w:shd w:val="clear" w:color="auto" w:fill="3D7881"/>
            <w:vAlign w:val="center"/>
          </w:tcPr>
          <w:p w14:paraId="6799D782" w14:textId="77777777" w:rsidR="008D1A17" w:rsidRPr="000C234D" w:rsidRDefault="008D1A17" w:rsidP="00A14123">
            <w:pPr>
              <w:tabs>
                <w:tab w:val="left" w:pos="6691"/>
              </w:tabs>
              <w:cnfStyle w:val="100000000000" w:firstRow="1" w:lastRow="0" w:firstColumn="0" w:lastColumn="0" w:oddVBand="0" w:evenVBand="0" w:oddHBand="0" w:evenHBand="0" w:firstRowFirstColumn="0" w:firstRowLastColumn="0" w:lastRowFirstColumn="0" w:lastRowLastColumn="0"/>
              <w:rPr>
                <w:rFonts w:cs="Arial"/>
                <w:b w:val="0"/>
                <w:sz w:val="18"/>
                <w:szCs w:val="18"/>
              </w:rPr>
            </w:pPr>
          </w:p>
        </w:tc>
        <w:tc>
          <w:tcPr>
            <w:tcW w:w="2410" w:type="dxa"/>
            <w:gridSpan w:val="2"/>
            <w:tcBorders>
              <w:top w:val="none" w:sz="0" w:space="0" w:color="auto"/>
              <w:left w:val="none" w:sz="0" w:space="0" w:color="auto"/>
              <w:bottom w:val="none" w:sz="0" w:space="0" w:color="auto"/>
              <w:right w:val="none" w:sz="0" w:space="0" w:color="auto"/>
            </w:tcBorders>
            <w:shd w:val="clear" w:color="auto" w:fill="3D7881"/>
            <w:vAlign w:val="center"/>
          </w:tcPr>
          <w:p w14:paraId="13ED9528" w14:textId="77777777" w:rsidR="008D1A17" w:rsidRPr="000C234D" w:rsidRDefault="008D1A17" w:rsidP="00A14123">
            <w:pPr>
              <w:tabs>
                <w:tab w:val="left" w:pos="6691"/>
              </w:tabs>
              <w:jc w:val="center"/>
              <w:cnfStyle w:val="100000000000" w:firstRow="1" w:lastRow="0" w:firstColumn="0" w:lastColumn="0" w:oddVBand="0" w:evenVBand="0" w:oddHBand="0" w:evenHBand="0" w:firstRowFirstColumn="0" w:firstRowLastColumn="0" w:lastRowFirstColumn="0" w:lastRowLastColumn="0"/>
              <w:rPr>
                <w:rFonts w:cs="Arial"/>
                <w:b w:val="0"/>
                <w:sz w:val="18"/>
                <w:szCs w:val="18"/>
              </w:rPr>
            </w:pPr>
            <w:r w:rsidRPr="000C234D">
              <w:rPr>
                <w:rFonts w:eastAsia="Calibri" w:cs="Arial"/>
                <w:sz w:val="18"/>
                <w:szCs w:val="18"/>
              </w:rPr>
              <w:t>Performance objective</w:t>
            </w:r>
          </w:p>
        </w:tc>
      </w:tr>
      <w:tr w:rsidR="008D1A17" w:rsidRPr="000C234D" w14:paraId="2879C737" w14:textId="77777777" w:rsidTr="00197A43">
        <w:trPr>
          <w:cnfStyle w:val="000000100000" w:firstRow="0" w:lastRow="0" w:firstColumn="0" w:lastColumn="0" w:oddVBand="0" w:evenVBand="0" w:oddHBand="1" w:evenHBand="0" w:firstRowFirstColumn="0" w:firstRowLastColumn="0" w:lastRowFirstColumn="0" w:lastRowLastColumn="0"/>
          <w:cantSplit/>
          <w:trHeight w:val="481"/>
        </w:trPr>
        <w:tc>
          <w:tcPr>
            <w:cnfStyle w:val="001000000000" w:firstRow="0" w:lastRow="0" w:firstColumn="1" w:lastColumn="0" w:oddVBand="0" w:evenVBand="0" w:oddHBand="0" w:evenHBand="0" w:firstRowFirstColumn="0" w:firstRowLastColumn="0" w:lastRowFirstColumn="0" w:lastRowLastColumn="0"/>
            <w:tcW w:w="1560" w:type="dxa"/>
            <w:tcBorders>
              <w:top w:val="nil"/>
            </w:tcBorders>
            <w:shd w:val="clear" w:color="auto" w:fill="3D7881"/>
            <w:vAlign w:val="center"/>
          </w:tcPr>
          <w:p w14:paraId="72D3D719" w14:textId="77777777" w:rsidR="008D1A17" w:rsidRPr="000C234D" w:rsidRDefault="008D1A17" w:rsidP="00A14123">
            <w:pPr>
              <w:tabs>
                <w:tab w:val="left" w:pos="6691"/>
              </w:tabs>
              <w:rPr>
                <w:rFonts w:eastAsia="Calibri" w:cs="Arial"/>
                <w:color w:val="FFFFFF"/>
                <w:sz w:val="18"/>
                <w:szCs w:val="18"/>
              </w:rPr>
            </w:pPr>
            <w:r w:rsidRPr="000C234D">
              <w:rPr>
                <w:rFonts w:eastAsia="Calibri" w:cs="Arial"/>
                <w:color w:val="FFFFFF"/>
                <w:sz w:val="18"/>
                <w:szCs w:val="18"/>
              </w:rPr>
              <w:t>Measure</w:t>
            </w:r>
          </w:p>
        </w:tc>
        <w:tc>
          <w:tcPr>
            <w:tcW w:w="992" w:type="dxa"/>
            <w:tcBorders>
              <w:top w:val="nil"/>
            </w:tcBorders>
            <w:shd w:val="clear" w:color="auto" w:fill="3D7881"/>
            <w:vAlign w:val="center"/>
          </w:tcPr>
          <w:p w14:paraId="43EFC84D" w14:textId="77777777" w:rsidR="008D1A17" w:rsidRPr="000C234D" w:rsidRDefault="00C86D4C" w:rsidP="00A14123">
            <w:pPr>
              <w:tabs>
                <w:tab w:val="left" w:pos="6691"/>
              </w:tabs>
              <w:cnfStyle w:val="000000100000" w:firstRow="0" w:lastRow="0" w:firstColumn="0" w:lastColumn="0" w:oddVBand="0" w:evenVBand="0" w:oddHBand="1" w:evenHBand="0" w:firstRowFirstColumn="0" w:firstRowLastColumn="0" w:lastRowFirstColumn="0" w:lastRowLastColumn="0"/>
              <w:rPr>
                <w:rFonts w:eastAsia="Calibri" w:cs="Arial"/>
                <w:b/>
                <w:bCs/>
                <w:color w:val="FFFFFF"/>
                <w:sz w:val="18"/>
                <w:szCs w:val="18"/>
              </w:rPr>
            </w:pPr>
            <w:r>
              <w:rPr>
                <w:rFonts w:eastAsia="Calibri" w:cs="Arial"/>
                <w:b/>
                <w:bCs/>
                <w:color w:val="FFFFFF"/>
                <w:sz w:val="18"/>
                <w:szCs w:val="18"/>
              </w:rPr>
              <w:t>Data s</w:t>
            </w:r>
            <w:r w:rsidR="008D1A17" w:rsidRPr="000C234D">
              <w:rPr>
                <w:rFonts w:eastAsia="Calibri" w:cs="Arial"/>
                <w:b/>
                <w:bCs/>
                <w:color w:val="FFFFFF"/>
                <w:sz w:val="18"/>
                <w:szCs w:val="18"/>
              </w:rPr>
              <w:t>ource</w:t>
            </w:r>
          </w:p>
        </w:tc>
        <w:tc>
          <w:tcPr>
            <w:tcW w:w="992" w:type="dxa"/>
            <w:tcBorders>
              <w:top w:val="nil"/>
            </w:tcBorders>
            <w:shd w:val="clear" w:color="auto" w:fill="3D7881"/>
            <w:vAlign w:val="center"/>
          </w:tcPr>
          <w:p w14:paraId="60E4134E" w14:textId="77777777" w:rsidR="008D1A17" w:rsidRPr="000C234D" w:rsidRDefault="008D1A17" w:rsidP="00A14123">
            <w:pPr>
              <w:tabs>
                <w:tab w:val="left" w:pos="6691"/>
              </w:tabs>
              <w:cnfStyle w:val="000000100000" w:firstRow="0" w:lastRow="0" w:firstColumn="0" w:lastColumn="0" w:oddVBand="0" w:evenVBand="0" w:oddHBand="1" w:evenHBand="0" w:firstRowFirstColumn="0" w:firstRowLastColumn="0" w:lastRowFirstColumn="0" w:lastRowLastColumn="0"/>
              <w:rPr>
                <w:rFonts w:eastAsia="Calibri" w:cs="Arial"/>
                <w:b/>
                <w:bCs/>
                <w:color w:val="FFFFFF"/>
                <w:sz w:val="18"/>
                <w:szCs w:val="18"/>
              </w:rPr>
            </w:pPr>
            <w:r>
              <w:rPr>
                <w:rFonts w:eastAsia="Calibri" w:cs="Arial"/>
                <w:b/>
                <w:bCs/>
                <w:color w:val="FFFFFF"/>
                <w:sz w:val="18"/>
                <w:szCs w:val="18"/>
              </w:rPr>
              <w:t>Domain</w:t>
            </w:r>
          </w:p>
        </w:tc>
        <w:tc>
          <w:tcPr>
            <w:tcW w:w="2693" w:type="dxa"/>
            <w:tcBorders>
              <w:top w:val="nil"/>
            </w:tcBorders>
            <w:shd w:val="clear" w:color="auto" w:fill="3D7881"/>
            <w:vAlign w:val="center"/>
          </w:tcPr>
          <w:p w14:paraId="6DFD2944" w14:textId="77777777" w:rsidR="008D1A17" w:rsidRDefault="008D1A17" w:rsidP="00A14123">
            <w:pPr>
              <w:tabs>
                <w:tab w:val="left" w:pos="6691"/>
              </w:tabs>
              <w:cnfStyle w:val="000000100000" w:firstRow="0" w:lastRow="0" w:firstColumn="0" w:lastColumn="0" w:oddVBand="0" w:evenVBand="0" w:oddHBand="1" w:evenHBand="0" w:firstRowFirstColumn="0" w:firstRowLastColumn="0" w:lastRowFirstColumn="0" w:lastRowLastColumn="0"/>
              <w:rPr>
                <w:rFonts w:eastAsia="Calibri" w:cs="Arial"/>
                <w:b/>
                <w:bCs/>
                <w:color w:val="FFFFFF"/>
                <w:sz w:val="18"/>
                <w:szCs w:val="18"/>
              </w:rPr>
            </w:pPr>
            <w:r w:rsidRPr="000C234D">
              <w:rPr>
                <w:rFonts w:eastAsia="Calibri" w:cs="Arial"/>
                <w:b/>
                <w:bCs/>
                <w:color w:val="FFFFFF"/>
                <w:sz w:val="18"/>
                <w:szCs w:val="18"/>
              </w:rPr>
              <w:t>Metric</w:t>
            </w:r>
          </w:p>
          <w:p w14:paraId="28C56F4E" w14:textId="2424F6E3" w:rsidR="00604E40" w:rsidRPr="00685A69" w:rsidRDefault="00604E40" w:rsidP="00A14123">
            <w:pPr>
              <w:tabs>
                <w:tab w:val="left" w:pos="6691"/>
              </w:tabs>
              <w:cnfStyle w:val="000000100000" w:firstRow="0" w:lastRow="0" w:firstColumn="0" w:lastColumn="0" w:oddVBand="0" w:evenVBand="0" w:oddHBand="1" w:evenHBand="0" w:firstRowFirstColumn="0" w:firstRowLastColumn="0" w:lastRowFirstColumn="0" w:lastRowLastColumn="0"/>
              <w:rPr>
                <w:rFonts w:eastAsia="Calibri" w:cs="Arial"/>
                <w:b/>
                <w:bCs/>
                <w:color w:val="FFFFFF"/>
                <w:sz w:val="12"/>
                <w:szCs w:val="12"/>
              </w:rPr>
            </w:pPr>
            <w:r w:rsidRPr="00685A69">
              <w:rPr>
                <w:rFonts w:eastAsia="Calibri" w:cs="Arial"/>
                <w:b/>
                <w:bCs/>
                <w:color w:val="FFFFFF" w:themeColor="background1"/>
                <w:sz w:val="12"/>
                <w:szCs w:val="12"/>
              </w:rPr>
              <w:t>(data item selected to identify and indicate change against corresponding measure)</w:t>
            </w:r>
          </w:p>
        </w:tc>
        <w:tc>
          <w:tcPr>
            <w:tcW w:w="6379" w:type="dxa"/>
            <w:tcBorders>
              <w:top w:val="nil"/>
            </w:tcBorders>
            <w:shd w:val="clear" w:color="auto" w:fill="3D7881"/>
            <w:vAlign w:val="center"/>
          </w:tcPr>
          <w:p w14:paraId="394BC041" w14:textId="77777777" w:rsidR="008D1A17" w:rsidRPr="000C234D" w:rsidRDefault="008D1A17" w:rsidP="00A14123">
            <w:pPr>
              <w:tabs>
                <w:tab w:val="left" w:pos="6691"/>
              </w:tabs>
              <w:cnfStyle w:val="000000100000" w:firstRow="0" w:lastRow="0" w:firstColumn="0" w:lastColumn="0" w:oddVBand="0" w:evenVBand="0" w:oddHBand="1" w:evenHBand="0" w:firstRowFirstColumn="0" w:firstRowLastColumn="0" w:lastRowFirstColumn="0" w:lastRowLastColumn="0"/>
              <w:rPr>
                <w:rFonts w:eastAsia="Calibri" w:cs="Arial"/>
                <w:b/>
                <w:bCs/>
                <w:color w:val="FFFFFF"/>
                <w:sz w:val="18"/>
                <w:szCs w:val="18"/>
              </w:rPr>
            </w:pPr>
            <w:r w:rsidRPr="000C234D">
              <w:rPr>
                <w:rFonts w:eastAsia="Calibri" w:cs="Arial"/>
                <w:b/>
                <w:bCs/>
                <w:color w:val="FFFFFF"/>
                <w:sz w:val="18"/>
                <w:szCs w:val="18"/>
              </w:rPr>
              <w:t>Rationale</w:t>
            </w:r>
          </w:p>
        </w:tc>
        <w:tc>
          <w:tcPr>
            <w:tcW w:w="1205" w:type="dxa"/>
            <w:shd w:val="clear" w:color="auto" w:fill="3D7881"/>
            <w:vAlign w:val="center"/>
          </w:tcPr>
          <w:p w14:paraId="2A1B4AF1" w14:textId="77777777" w:rsidR="008D1A17" w:rsidRPr="00C86D4C" w:rsidRDefault="008D1A17" w:rsidP="00A14123">
            <w:pPr>
              <w:tabs>
                <w:tab w:val="left" w:pos="6691"/>
              </w:tabs>
              <w:cnfStyle w:val="000000100000" w:firstRow="0" w:lastRow="0" w:firstColumn="0" w:lastColumn="0" w:oddVBand="0" w:evenVBand="0" w:oddHBand="1" w:evenHBand="0" w:firstRowFirstColumn="0" w:firstRowLastColumn="0" w:lastRowFirstColumn="0" w:lastRowLastColumn="0"/>
              <w:rPr>
                <w:rFonts w:eastAsia="Calibri" w:cs="Arial"/>
                <w:b/>
                <w:bCs/>
                <w:color w:val="FFFFFF"/>
                <w:sz w:val="16"/>
                <w:szCs w:val="16"/>
              </w:rPr>
            </w:pPr>
            <w:r w:rsidRPr="00C86D4C">
              <w:rPr>
                <w:rFonts w:eastAsia="Calibri" w:cs="Arial"/>
                <w:b/>
                <w:bCs/>
                <w:color w:val="FFFFFF"/>
                <w:sz w:val="16"/>
                <w:szCs w:val="16"/>
              </w:rPr>
              <w:t>Direction of change</w:t>
            </w:r>
          </w:p>
        </w:tc>
        <w:tc>
          <w:tcPr>
            <w:tcW w:w="1205" w:type="dxa"/>
            <w:shd w:val="clear" w:color="auto" w:fill="3D7881"/>
            <w:vAlign w:val="center"/>
          </w:tcPr>
          <w:p w14:paraId="7416C468" w14:textId="77777777" w:rsidR="008D1A17" w:rsidRPr="00C86D4C" w:rsidRDefault="008D1A17" w:rsidP="00A14123">
            <w:pPr>
              <w:tabs>
                <w:tab w:val="left" w:pos="6691"/>
              </w:tabs>
              <w:cnfStyle w:val="000000100000" w:firstRow="0" w:lastRow="0" w:firstColumn="0" w:lastColumn="0" w:oddVBand="0" w:evenVBand="0" w:oddHBand="1" w:evenHBand="0" w:firstRowFirstColumn="0" w:firstRowLastColumn="0" w:lastRowFirstColumn="0" w:lastRowLastColumn="0"/>
              <w:rPr>
                <w:rFonts w:eastAsia="Calibri" w:cs="Arial"/>
                <w:b/>
                <w:bCs/>
                <w:color w:val="FFFFFF"/>
                <w:sz w:val="16"/>
                <w:szCs w:val="16"/>
              </w:rPr>
            </w:pPr>
            <w:r w:rsidRPr="00C86D4C">
              <w:rPr>
                <w:rFonts w:eastAsia="Calibri" w:cs="Arial"/>
                <w:b/>
                <w:bCs/>
                <w:color w:val="FFFFFF"/>
                <w:sz w:val="16"/>
                <w:szCs w:val="16"/>
              </w:rPr>
              <w:t>Scope for change</w:t>
            </w:r>
          </w:p>
        </w:tc>
      </w:tr>
      <w:tr w:rsidR="008D1A17" w:rsidRPr="000C234D" w14:paraId="403D12FF" w14:textId="77777777" w:rsidTr="00036504">
        <w:trPr>
          <w:trHeight w:val="1052"/>
        </w:trPr>
        <w:tc>
          <w:tcPr>
            <w:cnfStyle w:val="001000000000" w:firstRow="0" w:lastRow="0" w:firstColumn="1" w:lastColumn="0" w:oddVBand="0" w:evenVBand="0" w:oddHBand="0" w:evenHBand="0" w:firstRowFirstColumn="0" w:firstRowLastColumn="0" w:lastRowFirstColumn="0" w:lastRowLastColumn="0"/>
            <w:tcW w:w="1560" w:type="dxa"/>
            <w:shd w:val="clear" w:color="auto" w:fill="FFFFFF" w:themeFill="background1"/>
            <w:vAlign w:val="center"/>
          </w:tcPr>
          <w:p w14:paraId="62DC3F27" w14:textId="77777777" w:rsidR="008D1A17" w:rsidRPr="00540C05" w:rsidRDefault="008D1A17" w:rsidP="00A14123">
            <w:pPr>
              <w:tabs>
                <w:tab w:val="left" w:pos="6691"/>
              </w:tabs>
              <w:rPr>
                <w:rFonts w:eastAsia="Calibri" w:cs="Arial"/>
                <w:sz w:val="16"/>
                <w:szCs w:val="16"/>
              </w:rPr>
            </w:pPr>
            <w:r w:rsidRPr="00540C05">
              <w:rPr>
                <w:rFonts w:eastAsia="Calibri" w:cs="Arial"/>
                <w:sz w:val="16"/>
                <w:szCs w:val="16"/>
              </w:rPr>
              <w:t>Timely return to work*</w:t>
            </w:r>
          </w:p>
        </w:tc>
        <w:tc>
          <w:tcPr>
            <w:tcW w:w="992" w:type="dxa"/>
            <w:shd w:val="clear" w:color="auto" w:fill="FFFFFF" w:themeFill="background1"/>
            <w:vAlign w:val="center"/>
          </w:tcPr>
          <w:p w14:paraId="366FA185" w14:textId="77777777" w:rsidR="008D1A17" w:rsidRPr="008D1A17" w:rsidRDefault="008D1A17" w:rsidP="00B7671D">
            <w:pPr>
              <w:tabs>
                <w:tab w:val="left" w:pos="6691"/>
              </w:tabs>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8D1A17">
              <w:rPr>
                <w:rFonts w:eastAsia="Calibri" w:cs="Arial"/>
                <w:sz w:val="16"/>
                <w:szCs w:val="16"/>
              </w:rPr>
              <w:t>NDS</w:t>
            </w:r>
          </w:p>
        </w:tc>
        <w:tc>
          <w:tcPr>
            <w:tcW w:w="992" w:type="dxa"/>
            <w:shd w:val="clear" w:color="auto" w:fill="FFFFFF" w:themeFill="background1"/>
            <w:vAlign w:val="center"/>
          </w:tcPr>
          <w:p w14:paraId="739449CC" w14:textId="77777777" w:rsidR="008D1A17" w:rsidRPr="008D1A17" w:rsidRDefault="0031097B" w:rsidP="00B7671D">
            <w:pPr>
              <w:tabs>
                <w:tab w:val="left" w:pos="6691"/>
              </w:tabs>
              <w:spacing w:after="160" w:line="259" w:lineRule="auto"/>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br/>
            </w:r>
            <w:r w:rsidR="008D1A17" w:rsidRPr="008D1A17">
              <w:rPr>
                <w:rFonts w:cs="Arial"/>
                <w:bCs/>
                <w:sz w:val="16"/>
                <w:szCs w:val="16"/>
              </w:rPr>
              <w:t>Multiple</w:t>
            </w:r>
          </w:p>
        </w:tc>
        <w:tc>
          <w:tcPr>
            <w:tcW w:w="2693" w:type="dxa"/>
            <w:shd w:val="clear" w:color="auto" w:fill="FFFFFF" w:themeFill="background1"/>
            <w:vAlign w:val="center"/>
          </w:tcPr>
          <w:p w14:paraId="1AE01930" w14:textId="77777777" w:rsidR="008D1A17" w:rsidRPr="008D1A17" w:rsidRDefault="008D1A17" w:rsidP="00540C05">
            <w:pPr>
              <w:tabs>
                <w:tab w:val="left" w:pos="6691"/>
              </w:tabs>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8D1A17">
              <w:rPr>
                <w:rFonts w:cs="Arial"/>
                <w:sz w:val="16"/>
                <w:szCs w:val="16"/>
              </w:rPr>
              <w:t>Rate of accepted claims with time loss at 1</w:t>
            </w:r>
            <w:r w:rsidR="00540C05">
              <w:rPr>
                <w:rFonts w:cs="Arial"/>
                <w:sz w:val="16"/>
                <w:szCs w:val="16"/>
              </w:rPr>
              <w:t>3 weeks, 26 weeks and 52 weeks</w:t>
            </w:r>
            <w:r w:rsidRPr="008D1A17">
              <w:rPr>
                <w:rFonts w:cs="Arial"/>
                <w:sz w:val="16"/>
                <w:szCs w:val="16"/>
              </w:rPr>
              <w:t xml:space="preserve"> </w:t>
            </w:r>
          </w:p>
        </w:tc>
        <w:tc>
          <w:tcPr>
            <w:tcW w:w="6379" w:type="dxa"/>
            <w:shd w:val="clear" w:color="auto" w:fill="FFFFFF" w:themeFill="background1"/>
            <w:vAlign w:val="center"/>
          </w:tcPr>
          <w:p w14:paraId="22330681" w14:textId="77777777" w:rsidR="008D1A17" w:rsidRPr="008D1A17" w:rsidRDefault="008D1A17" w:rsidP="008D1A17">
            <w:pPr>
              <w:numPr>
                <w:ilvl w:val="0"/>
                <w:numId w:val="10"/>
              </w:numPr>
              <w:tabs>
                <w:tab w:val="left" w:pos="6691"/>
              </w:tabs>
              <w:spacing w:before="120" w:line="240" w:lineRule="auto"/>
              <w:ind w:left="319" w:hanging="284"/>
              <w:contextualSpacing/>
              <w:cnfStyle w:val="000000000000" w:firstRow="0" w:lastRow="0" w:firstColumn="0" w:lastColumn="0" w:oddVBand="0" w:evenVBand="0" w:oddHBand="0" w:evenHBand="0" w:firstRowFirstColumn="0" w:firstRowLastColumn="0" w:lastRowFirstColumn="0" w:lastRowLastColumn="0"/>
              <w:rPr>
                <w:rFonts w:eastAsia="Arial" w:cs="Arial"/>
                <w:color w:val="000000"/>
                <w:sz w:val="16"/>
                <w:szCs w:val="16"/>
                <w:lang w:eastAsia="zh-CN"/>
              </w:rPr>
            </w:pPr>
            <w:r w:rsidRPr="008D1A17">
              <w:rPr>
                <w:rFonts w:eastAsia="Arial" w:cs="Arial"/>
                <w:color w:val="000000"/>
                <w:sz w:val="16"/>
                <w:szCs w:val="16"/>
                <w:lang w:eastAsia="zh-CN"/>
              </w:rPr>
              <w:t xml:space="preserve">Many workers’ compensation authorities use this as a performance measure </w:t>
            </w:r>
          </w:p>
          <w:p w14:paraId="1A8D41F5" w14:textId="77777777" w:rsidR="008D1A17" w:rsidRPr="008D1A17" w:rsidRDefault="008D1A17" w:rsidP="008D1A17">
            <w:pPr>
              <w:numPr>
                <w:ilvl w:val="0"/>
                <w:numId w:val="10"/>
              </w:numPr>
              <w:tabs>
                <w:tab w:val="left" w:pos="6691"/>
              </w:tabs>
              <w:spacing w:before="120" w:line="240" w:lineRule="auto"/>
              <w:ind w:left="319" w:hanging="284"/>
              <w:contextualSpacing/>
              <w:cnfStyle w:val="000000000000" w:firstRow="0" w:lastRow="0" w:firstColumn="0" w:lastColumn="0" w:oddVBand="0" w:evenVBand="0" w:oddHBand="0" w:evenHBand="0" w:firstRowFirstColumn="0" w:firstRowLastColumn="0" w:lastRowFirstColumn="0" w:lastRowLastColumn="0"/>
              <w:rPr>
                <w:rFonts w:eastAsia="Arial" w:cs="Arial"/>
                <w:color w:val="000000"/>
                <w:sz w:val="16"/>
                <w:szCs w:val="16"/>
                <w:lang w:eastAsia="zh-CN"/>
              </w:rPr>
            </w:pPr>
            <w:r w:rsidRPr="008D1A17">
              <w:rPr>
                <w:rFonts w:eastAsia="Arial" w:cs="Arial"/>
                <w:color w:val="000000"/>
                <w:sz w:val="16"/>
                <w:szCs w:val="16"/>
                <w:lang w:eastAsia="zh-CN"/>
              </w:rPr>
              <w:t>Absence beyond 3 months indicates injury chronicity and increased claim complexity</w:t>
            </w:r>
          </w:p>
          <w:p w14:paraId="3828053C" w14:textId="77777777" w:rsidR="008D1A17" w:rsidRPr="008D1A17" w:rsidRDefault="008D1A17" w:rsidP="008D1A17">
            <w:pPr>
              <w:numPr>
                <w:ilvl w:val="0"/>
                <w:numId w:val="10"/>
              </w:numPr>
              <w:tabs>
                <w:tab w:val="left" w:pos="6691"/>
              </w:tabs>
              <w:spacing w:before="120" w:line="240" w:lineRule="auto"/>
              <w:ind w:left="319" w:hanging="284"/>
              <w:contextualSpacing/>
              <w:cnfStyle w:val="000000000000" w:firstRow="0" w:lastRow="0" w:firstColumn="0" w:lastColumn="0" w:oddVBand="0" w:evenVBand="0" w:oddHBand="0" w:evenHBand="0" w:firstRowFirstColumn="0" w:firstRowLastColumn="0" w:lastRowFirstColumn="0" w:lastRowLastColumn="0"/>
              <w:rPr>
                <w:rFonts w:eastAsia="Arial" w:cs="Arial"/>
                <w:color w:val="000000"/>
                <w:sz w:val="16"/>
                <w:szCs w:val="16"/>
                <w:lang w:eastAsia="zh-CN"/>
              </w:rPr>
            </w:pPr>
            <w:r w:rsidRPr="008D1A17">
              <w:rPr>
                <w:rFonts w:eastAsia="Arial" w:cs="Arial"/>
                <w:color w:val="000000"/>
                <w:sz w:val="16"/>
                <w:szCs w:val="16"/>
                <w:lang w:eastAsia="zh-CN"/>
              </w:rPr>
              <w:t xml:space="preserve">Historical performance trends can be calculated </w:t>
            </w:r>
          </w:p>
        </w:tc>
        <w:tc>
          <w:tcPr>
            <w:tcW w:w="1205" w:type="dxa"/>
            <w:shd w:val="clear" w:color="auto" w:fill="FFFFFF" w:themeFill="background1"/>
            <w:vAlign w:val="center"/>
          </w:tcPr>
          <w:p w14:paraId="725D8F3C" w14:textId="77777777" w:rsidR="008D1A17" w:rsidRPr="008D1A17" w:rsidRDefault="008D1A17" w:rsidP="00BA6315">
            <w:pPr>
              <w:tabs>
                <w:tab w:val="left" w:pos="6691"/>
              </w:tabs>
              <w:spacing w:line="259" w:lineRule="auto"/>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8D1A17">
              <w:rPr>
                <w:rFonts w:cs="Arial"/>
                <w:bCs/>
                <w:sz w:val="16"/>
                <w:szCs w:val="16"/>
              </w:rPr>
              <w:t>Decrease</w:t>
            </w:r>
          </w:p>
        </w:tc>
        <w:tc>
          <w:tcPr>
            <w:tcW w:w="1205" w:type="dxa"/>
            <w:shd w:val="clear" w:color="auto" w:fill="FFFFFF" w:themeFill="background1"/>
            <w:vAlign w:val="center"/>
          </w:tcPr>
          <w:p w14:paraId="0A4CD2BB" w14:textId="77777777" w:rsidR="008D1A17" w:rsidRPr="008D1A17" w:rsidRDefault="008D1A17" w:rsidP="00BA6315">
            <w:pPr>
              <w:tabs>
                <w:tab w:val="left" w:pos="6691"/>
              </w:tabs>
              <w:spacing w:line="259" w:lineRule="auto"/>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8D1A17">
              <w:rPr>
                <w:rFonts w:cs="Arial"/>
                <w:bCs/>
                <w:sz w:val="16"/>
                <w:szCs w:val="16"/>
              </w:rPr>
              <w:t>Small</w:t>
            </w:r>
          </w:p>
        </w:tc>
      </w:tr>
      <w:tr w:rsidR="00B67E71" w:rsidRPr="000C234D" w14:paraId="0D878B70" w14:textId="77777777" w:rsidTr="00036504">
        <w:trPr>
          <w:cnfStyle w:val="000000100000" w:firstRow="0" w:lastRow="0" w:firstColumn="0" w:lastColumn="0" w:oddVBand="0" w:evenVBand="0" w:oddHBand="1"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1560" w:type="dxa"/>
            <w:shd w:val="clear" w:color="auto" w:fill="FFFFFF" w:themeFill="background1"/>
            <w:vAlign w:val="center"/>
          </w:tcPr>
          <w:p w14:paraId="020E89EC" w14:textId="77777777" w:rsidR="008D1A17" w:rsidRPr="00540C05" w:rsidRDefault="008D1A17" w:rsidP="00A14123">
            <w:pPr>
              <w:tabs>
                <w:tab w:val="left" w:pos="6691"/>
              </w:tabs>
              <w:rPr>
                <w:rFonts w:eastAsia="Calibri" w:cs="Arial"/>
                <w:sz w:val="16"/>
                <w:szCs w:val="16"/>
              </w:rPr>
            </w:pPr>
            <w:r w:rsidRPr="00540C05">
              <w:rPr>
                <w:rFonts w:eastAsia="Calibri" w:cs="Arial"/>
                <w:sz w:val="16"/>
                <w:szCs w:val="16"/>
              </w:rPr>
              <w:t>Safe return to work*</w:t>
            </w:r>
          </w:p>
        </w:tc>
        <w:tc>
          <w:tcPr>
            <w:tcW w:w="992" w:type="dxa"/>
            <w:shd w:val="clear" w:color="auto" w:fill="FFFFFF" w:themeFill="background1"/>
            <w:vAlign w:val="center"/>
          </w:tcPr>
          <w:p w14:paraId="02CDC894" w14:textId="77777777" w:rsidR="008D1A17" w:rsidRPr="008D1A17" w:rsidRDefault="008D1A17" w:rsidP="00A14123">
            <w:pPr>
              <w:tabs>
                <w:tab w:val="left" w:pos="6691"/>
              </w:tabs>
              <w:jc w:val="both"/>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r w:rsidRPr="008D1A17">
              <w:rPr>
                <w:rFonts w:eastAsia="Calibri" w:cs="Arial"/>
                <w:sz w:val="16"/>
                <w:szCs w:val="16"/>
              </w:rPr>
              <w:t>NRTWS</w:t>
            </w:r>
          </w:p>
        </w:tc>
        <w:tc>
          <w:tcPr>
            <w:tcW w:w="992" w:type="dxa"/>
            <w:shd w:val="clear" w:color="auto" w:fill="FFFFFF" w:themeFill="background1"/>
            <w:vAlign w:val="center"/>
          </w:tcPr>
          <w:p w14:paraId="2B947ED5" w14:textId="77777777" w:rsidR="008D1A17" w:rsidRPr="008D1A17" w:rsidRDefault="0031097B" w:rsidP="00A14123">
            <w:pPr>
              <w:tabs>
                <w:tab w:val="left" w:pos="6691"/>
              </w:tabs>
              <w:spacing w:after="160" w:line="259" w:lineRule="auto"/>
              <w:jc w:val="both"/>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br/>
            </w:r>
            <w:r w:rsidR="008D1A17" w:rsidRPr="008D1A17">
              <w:rPr>
                <w:rFonts w:cs="Arial"/>
                <w:bCs/>
                <w:sz w:val="16"/>
                <w:szCs w:val="16"/>
              </w:rPr>
              <w:t>Multiple</w:t>
            </w:r>
          </w:p>
        </w:tc>
        <w:tc>
          <w:tcPr>
            <w:tcW w:w="2693" w:type="dxa"/>
            <w:shd w:val="clear" w:color="auto" w:fill="FFFFFF" w:themeFill="background1"/>
            <w:vAlign w:val="center"/>
          </w:tcPr>
          <w:p w14:paraId="7AD26A2B" w14:textId="7149D6E3" w:rsidR="00604E40" w:rsidRPr="00685A69" w:rsidRDefault="008D1A17" w:rsidP="00A14123">
            <w:pPr>
              <w:tabs>
                <w:tab w:val="left" w:pos="6691"/>
              </w:tabs>
              <w:cnfStyle w:val="000000100000" w:firstRow="0" w:lastRow="0" w:firstColumn="0" w:lastColumn="0" w:oddVBand="0" w:evenVBand="0" w:oddHBand="1" w:evenHBand="0" w:firstRowFirstColumn="0" w:firstRowLastColumn="0" w:lastRowFirstColumn="0" w:lastRowLastColumn="0"/>
              <w:rPr>
                <w:rFonts w:cs="Arial"/>
                <w:sz w:val="16"/>
                <w:szCs w:val="16"/>
              </w:rPr>
            </w:pPr>
            <w:r w:rsidRPr="008D1A17">
              <w:rPr>
                <w:rFonts w:cs="Arial"/>
                <w:sz w:val="16"/>
                <w:szCs w:val="16"/>
              </w:rPr>
              <w:t>Percentage of workers who had returned to work and required additional time off</w:t>
            </w:r>
          </w:p>
        </w:tc>
        <w:tc>
          <w:tcPr>
            <w:tcW w:w="6379" w:type="dxa"/>
            <w:shd w:val="clear" w:color="auto" w:fill="FFFFFF" w:themeFill="background1"/>
            <w:vAlign w:val="center"/>
          </w:tcPr>
          <w:p w14:paraId="753FE00A" w14:textId="77777777" w:rsidR="008D1A17" w:rsidRPr="008D1A17" w:rsidRDefault="008D1A17" w:rsidP="008D1A17">
            <w:pPr>
              <w:numPr>
                <w:ilvl w:val="0"/>
                <w:numId w:val="10"/>
              </w:numPr>
              <w:tabs>
                <w:tab w:val="left" w:pos="6691"/>
              </w:tabs>
              <w:spacing w:before="120" w:line="240" w:lineRule="auto"/>
              <w:ind w:left="319" w:hanging="284"/>
              <w:contextualSpacing/>
              <w:cnfStyle w:val="000000100000" w:firstRow="0" w:lastRow="0" w:firstColumn="0" w:lastColumn="0" w:oddVBand="0" w:evenVBand="0" w:oddHBand="1" w:evenHBand="0" w:firstRowFirstColumn="0" w:firstRowLastColumn="0" w:lastRowFirstColumn="0" w:lastRowLastColumn="0"/>
              <w:rPr>
                <w:rFonts w:eastAsia="Arial" w:cs="Arial"/>
                <w:color w:val="000000"/>
                <w:sz w:val="16"/>
                <w:szCs w:val="16"/>
                <w:lang w:eastAsia="zh-CN"/>
              </w:rPr>
            </w:pPr>
            <w:r w:rsidRPr="008D1A17">
              <w:rPr>
                <w:rFonts w:eastAsia="Arial" w:cs="Arial"/>
                <w:color w:val="000000"/>
                <w:sz w:val="16"/>
                <w:szCs w:val="16"/>
                <w:lang w:eastAsia="zh-CN"/>
              </w:rPr>
              <w:t xml:space="preserve">Assesses key strategic outcome of safety in return to work </w:t>
            </w:r>
          </w:p>
          <w:p w14:paraId="194C90BA" w14:textId="6B7756F7" w:rsidR="00685A69" w:rsidRPr="00685A69" w:rsidRDefault="008D1A17" w:rsidP="00685A69">
            <w:pPr>
              <w:numPr>
                <w:ilvl w:val="0"/>
                <w:numId w:val="10"/>
              </w:numPr>
              <w:tabs>
                <w:tab w:val="left" w:pos="6691"/>
              </w:tabs>
              <w:spacing w:before="120" w:line="240" w:lineRule="auto"/>
              <w:ind w:left="319" w:hanging="284"/>
              <w:contextualSpacing/>
              <w:cnfStyle w:val="000000100000" w:firstRow="0" w:lastRow="0" w:firstColumn="0" w:lastColumn="0" w:oddVBand="0" w:evenVBand="0" w:oddHBand="1" w:evenHBand="0" w:firstRowFirstColumn="0" w:firstRowLastColumn="0" w:lastRowFirstColumn="0" w:lastRowLastColumn="0"/>
              <w:rPr>
                <w:rFonts w:eastAsia="Arial" w:cs="Arial"/>
                <w:color w:val="000000"/>
                <w:sz w:val="16"/>
                <w:szCs w:val="16"/>
                <w:lang w:eastAsia="zh-CN"/>
              </w:rPr>
            </w:pPr>
            <w:r w:rsidRPr="00685A69">
              <w:rPr>
                <w:rFonts w:eastAsia="Arial" w:cs="Arial"/>
                <w:color w:val="000000"/>
                <w:sz w:val="16"/>
                <w:szCs w:val="16"/>
                <w:lang w:eastAsia="zh-CN"/>
              </w:rPr>
              <w:t>Indicates return to work that is too early, not properly accommodated, or potential re-injury / symptom exacerbation</w:t>
            </w:r>
            <w:r w:rsidR="00685A69" w:rsidRPr="00685A69">
              <w:rPr>
                <w:rFonts w:eastAsia="Arial" w:cs="Arial"/>
                <w:color w:val="000000"/>
                <w:sz w:val="16"/>
                <w:szCs w:val="16"/>
                <w:lang w:eastAsia="zh-CN"/>
              </w:rPr>
              <w:t xml:space="preserve">, noting that not </w:t>
            </w:r>
            <w:r w:rsidR="00685A69" w:rsidRPr="00685A69">
              <w:rPr>
                <w:rFonts w:eastAsia="Calibri" w:cs="Arial"/>
                <w:bCs/>
                <w:sz w:val="16"/>
                <w:szCs w:val="16"/>
              </w:rPr>
              <w:t xml:space="preserve">all multiple attempts at return to work are indicative of issues or failures in the process   </w:t>
            </w:r>
          </w:p>
          <w:p w14:paraId="6CE0715A" w14:textId="4B2F1A39" w:rsidR="00747598" w:rsidRPr="00685A69" w:rsidRDefault="008D1A17" w:rsidP="00685A69">
            <w:pPr>
              <w:numPr>
                <w:ilvl w:val="0"/>
                <w:numId w:val="10"/>
              </w:numPr>
              <w:tabs>
                <w:tab w:val="left" w:pos="6691"/>
              </w:tabs>
              <w:spacing w:before="120" w:line="240" w:lineRule="auto"/>
              <w:ind w:left="319" w:hanging="284"/>
              <w:contextualSpacing/>
              <w:cnfStyle w:val="000000100000" w:firstRow="0" w:lastRow="0" w:firstColumn="0" w:lastColumn="0" w:oddVBand="0" w:evenVBand="0" w:oddHBand="1" w:evenHBand="0" w:firstRowFirstColumn="0" w:firstRowLastColumn="0" w:lastRowFirstColumn="0" w:lastRowLastColumn="0"/>
              <w:rPr>
                <w:rFonts w:eastAsia="Arial" w:cs="Arial"/>
                <w:color w:val="000000"/>
                <w:sz w:val="16"/>
                <w:szCs w:val="16"/>
                <w:lang w:eastAsia="zh-CN"/>
              </w:rPr>
            </w:pPr>
            <w:r w:rsidRPr="008D1A17">
              <w:rPr>
                <w:rFonts w:eastAsia="Arial" w:cs="Arial"/>
                <w:color w:val="000000"/>
                <w:sz w:val="16"/>
                <w:szCs w:val="16"/>
                <w:lang w:eastAsia="zh-CN"/>
              </w:rPr>
              <w:t>Historical trend data available</w:t>
            </w:r>
          </w:p>
        </w:tc>
        <w:tc>
          <w:tcPr>
            <w:tcW w:w="1205" w:type="dxa"/>
            <w:shd w:val="clear" w:color="auto" w:fill="FFFFFF" w:themeFill="background1"/>
            <w:vAlign w:val="center"/>
          </w:tcPr>
          <w:p w14:paraId="79696AF3" w14:textId="77777777" w:rsidR="008D1A17" w:rsidRPr="008D1A17" w:rsidRDefault="008D1A17" w:rsidP="00BA6315">
            <w:pPr>
              <w:tabs>
                <w:tab w:val="left" w:pos="6691"/>
              </w:tabs>
              <w:spacing w:line="259" w:lineRule="auto"/>
              <w:cnfStyle w:val="000000100000" w:firstRow="0" w:lastRow="0" w:firstColumn="0" w:lastColumn="0" w:oddVBand="0" w:evenVBand="0" w:oddHBand="1" w:evenHBand="0" w:firstRowFirstColumn="0" w:firstRowLastColumn="0" w:lastRowFirstColumn="0" w:lastRowLastColumn="0"/>
              <w:rPr>
                <w:rFonts w:cs="Arial"/>
                <w:bCs/>
                <w:sz w:val="16"/>
                <w:szCs w:val="16"/>
              </w:rPr>
            </w:pPr>
            <w:r w:rsidRPr="008D1A17">
              <w:rPr>
                <w:rFonts w:cs="Arial"/>
                <w:bCs/>
                <w:sz w:val="16"/>
                <w:szCs w:val="16"/>
              </w:rPr>
              <w:t>Decrease</w:t>
            </w:r>
          </w:p>
        </w:tc>
        <w:tc>
          <w:tcPr>
            <w:tcW w:w="1205" w:type="dxa"/>
            <w:shd w:val="clear" w:color="auto" w:fill="FFFFFF" w:themeFill="background1"/>
            <w:vAlign w:val="center"/>
          </w:tcPr>
          <w:p w14:paraId="5C38E3C9" w14:textId="77777777" w:rsidR="008D1A17" w:rsidRPr="008D1A17" w:rsidRDefault="008D1A17" w:rsidP="00BA6315">
            <w:pPr>
              <w:tabs>
                <w:tab w:val="left" w:pos="6691"/>
              </w:tabs>
              <w:spacing w:line="259" w:lineRule="auto"/>
              <w:cnfStyle w:val="000000100000" w:firstRow="0" w:lastRow="0" w:firstColumn="0" w:lastColumn="0" w:oddVBand="0" w:evenVBand="0" w:oddHBand="1" w:evenHBand="0" w:firstRowFirstColumn="0" w:firstRowLastColumn="0" w:lastRowFirstColumn="0" w:lastRowLastColumn="0"/>
              <w:rPr>
                <w:rFonts w:cs="Arial"/>
                <w:bCs/>
                <w:sz w:val="16"/>
                <w:szCs w:val="16"/>
              </w:rPr>
            </w:pPr>
            <w:r w:rsidRPr="008D1A17">
              <w:rPr>
                <w:rFonts w:cs="Arial"/>
                <w:bCs/>
                <w:sz w:val="16"/>
                <w:szCs w:val="16"/>
              </w:rPr>
              <w:t>Moderate</w:t>
            </w:r>
          </w:p>
        </w:tc>
      </w:tr>
      <w:tr w:rsidR="008D1A17" w:rsidRPr="000C234D" w14:paraId="00CDF256" w14:textId="77777777" w:rsidTr="00036504">
        <w:trPr>
          <w:trHeight w:val="1052"/>
        </w:trPr>
        <w:tc>
          <w:tcPr>
            <w:cnfStyle w:val="001000000000" w:firstRow="0" w:lastRow="0" w:firstColumn="1" w:lastColumn="0" w:oddVBand="0" w:evenVBand="0" w:oddHBand="0" w:evenHBand="0" w:firstRowFirstColumn="0" w:firstRowLastColumn="0" w:lastRowFirstColumn="0" w:lastRowLastColumn="0"/>
            <w:tcW w:w="1560" w:type="dxa"/>
            <w:shd w:val="clear" w:color="auto" w:fill="FFFFFF" w:themeFill="background1"/>
            <w:vAlign w:val="center"/>
          </w:tcPr>
          <w:p w14:paraId="23FCED01" w14:textId="77777777" w:rsidR="008D1A17" w:rsidRPr="00540C05" w:rsidRDefault="008D1A17" w:rsidP="00A14123">
            <w:pPr>
              <w:tabs>
                <w:tab w:val="left" w:pos="6691"/>
              </w:tabs>
              <w:rPr>
                <w:rFonts w:eastAsia="Calibri" w:cs="Arial"/>
                <w:sz w:val="16"/>
                <w:szCs w:val="16"/>
              </w:rPr>
            </w:pPr>
            <w:r w:rsidRPr="00540C05">
              <w:rPr>
                <w:rFonts w:eastAsia="Calibri" w:cs="Arial"/>
                <w:sz w:val="16"/>
                <w:szCs w:val="16"/>
              </w:rPr>
              <w:t>Durable return to work*</w:t>
            </w:r>
          </w:p>
        </w:tc>
        <w:tc>
          <w:tcPr>
            <w:tcW w:w="992" w:type="dxa"/>
            <w:shd w:val="clear" w:color="auto" w:fill="FFFFFF" w:themeFill="background1"/>
            <w:vAlign w:val="center"/>
          </w:tcPr>
          <w:p w14:paraId="391D045F" w14:textId="77777777" w:rsidR="008D1A17" w:rsidRPr="008D1A17" w:rsidRDefault="008D1A17" w:rsidP="00A14123">
            <w:pPr>
              <w:tabs>
                <w:tab w:val="left" w:pos="6691"/>
              </w:tabs>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8D1A17">
              <w:rPr>
                <w:rFonts w:eastAsia="Calibri" w:cs="Arial"/>
                <w:sz w:val="16"/>
                <w:szCs w:val="16"/>
              </w:rPr>
              <w:t>NRTWS</w:t>
            </w:r>
          </w:p>
        </w:tc>
        <w:tc>
          <w:tcPr>
            <w:tcW w:w="992" w:type="dxa"/>
            <w:shd w:val="clear" w:color="auto" w:fill="FFFFFF" w:themeFill="background1"/>
            <w:vAlign w:val="center"/>
          </w:tcPr>
          <w:p w14:paraId="293D9584" w14:textId="77777777" w:rsidR="008D1A17" w:rsidRPr="008D1A17" w:rsidRDefault="0031097B" w:rsidP="00A14123">
            <w:pPr>
              <w:tabs>
                <w:tab w:val="left" w:pos="6691"/>
              </w:tabs>
              <w:spacing w:after="160" w:line="259" w:lineRule="auto"/>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br/>
            </w:r>
            <w:r w:rsidR="008D1A17" w:rsidRPr="008D1A17">
              <w:rPr>
                <w:rFonts w:cs="Arial"/>
                <w:bCs/>
                <w:sz w:val="16"/>
                <w:szCs w:val="16"/>
              </w:rPr>
              <w:t>Multiple</w:t>
            </w:r>
          </w:p>
        </w:tc>
        <w:tc>
          <w:tcPr>
            <w:tcW w:w="2693" w:type="dxa"/>
            <w:shd w:val="clear" w:color="auto" w:fill="FFFFFF" w:themeFill="background1"/>
            <w:vAlign w:val="center"/>
          </w:tcPr>
          <w:p w14:paraId="3A9DBD19" w14:textId="77777777" w:rsidR="008D1A17" w:rsidRPr="008D1A17" w:rsidRDefault="008D1A17" w:rsidP="00A14123">
            <w:pPr>
              <w:tabs>
                <w:tab w:val="left" w:pos="6691"/>
              </w:tabs>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8D1A17">
              <w:rPr>
                <w:rFonts w:cs="Arial"/>
                <w:sz w:val="16"/>
                <w:szCs w:val="16"/>
              </w:rPr>
              <w:t>Percentage of workers with time loss claims back at work for at least 3 months</w:t>
            </w:r>
          </w:p>
        </w:tc>
        <w:tc>
          <w:tcPr>
            <w:tcW w:w="6379" w:type="dxa"/>
            <w:shd w:val="clear" w:color="auto" w:fill="FFFFFF" w:themeFill="background1"/>
            <w:vAlign w:val="center"/>
          </w:tcPr>
          <w:p w14:paraId="506C413F" w14:textId="77777777" w:rsidR="008D1A17" w:rsidRPr="008D1A17" w:rsidRDefault="008D1A17" w:rsidP="008D1A17">
            <w:pPr>
              <w:numPr>
                <w:ilvl w:val="0"/>
                <w:numId w:val="10"/>
              </w:numPr>
              <w:tabs>
                <w:tab w:val="left" w:pos="6691"/>
              </w:tabs>
              <w:spacing w:before="120" w:line="240" w:lineRule="auto"/>
              <w:ind w:left="319" w:hanging="284"/>
              <w:contextualSpacing/>
              <w:cnfStyle w:val="000000000000" w:firstRow="0" w:lastRow="0" w:firstColumn="0" w:lastColumn="0" w:oddVBand="0" w:evenVBand="0" w:oddHBand="0" w:evenHBand="0" w:firstRowFirstColumn="0" w:firstRowLastColumn="0" w:lastRowFirstColumn="0" w:lastRowLastColumn="0"/>
              <w:rPr>
                <w:rFonts w:eastAsia="Arial" w:cs="Arial"/>
                <w:color w:val="000000"/>
                <w:sz w:val="16"/>
                <w:szCs w:val="16"/>
                <w:lang w:eastAsia="zh-CN"/>
              </w:rPr>
            </w:pPr>
            <w:r w:rsidRPr="008D1A17">
              <w:rPr>
                <w:rFonts w:eastAsia="Arial" w:cs="Arial"/>
                <w:color w:val="000000"/>
                <w:sz w:val="16"/>
                <w:szCs w:val="16"/>
                <w:lang w:eastAsia="zh-CN"/>
              </w:rPr>
              <w:t>Considered a key national return to work outcome measure</w:t>
            </w:r>
          </w:p>
          <w:p w14:paraId="640FED91" w14:textId="77777777" w:rsidR="008D1A17" w:rsidRPr="008D1A17" w:rsidRDefault="008D1A17" w:rsidP="008D1A17">
            <w:pPr>
              <w:numPr>
                <w:ilvl w:val="0"/>
                <w:numId w:val="10"/>
              </w:numPr>
              <w:tabs>
                <w:tab w:val="left" w:pos="6691"/>
              </w:tabs>
              <w:spacing w:before="120" w:line="240" w:lineRule="auto"/>
              <w:ind w:left="319" w:hanging="284"/>
              <w:contextualSpacing/>
              <w:cnfStyle w:val="000000000000" w:firstRow="0" w:lastRow="0" w:firstColumn="0" w:lastColumn="0" w:oddVBand="0" w:evenVBand="0" w:oddHBand="0" w:evenHBand="0" w:firstRowFirstColumn="0" w:firstRowLastColumn="0" w:lastRowFirstColumn="0" w:lastRowLastColumn="0"/>
              <w:rPr>
                <w:rFonts w:eastAsia="Arial" w:cs="Arial"/>
                <w:color w:val="000000"/>
                <w:sz w:val="16"/>
                <w:szCs w:val="16"/>
                <w:lang w:eastAsia="zh-CN"/>
              </w:rPr>
            </w:pPr>
            <w:r w:rsidRPr="008D1A17">
              <w:rPr>
                <w:rFonts w:eastAsia="Arial" w:cs="Arial"/>
                <w:color w:val="000000"/>
                <w:sz w:val="16"/>
                <w:szCs w:val="16"/>
                <w:lang w:eastAsia="zh-CN"/>
              </w:rPr>
              <w:t>Reported consistently for &gt; 10 years</w:t>
            </w:r>
          </w:p>
          <w:p w14:paraId="5219D227" w14:textId="77777777" w:rsidR="008D1A17" w:rsidRPr="008D1A17" w:rsidRDefault="008D1A17" w:rsidP="008D1A17">
            <w:pPr>
              <w:numPr>
                <w:ilvl w:val="0"/>
                <w:numId w:val="10"/>
              </w:numPr>
              <w:tabs>
                <w:tab w:val="left" w:pos="6691"/>
              </w:tabs>
              <w:spacing w:before="120" w:line="240" w:lineRule="auto"/>
              <w:ind w:left="319" w:hanging="284"/>
              <w:contextualSpacing/>
              <w:cnfStyle w:val="000000000000" w:firstRow="0" w:lastRow="0" w:firstColumn="0" w:lastColumn="0" w:oddVBand="0" w:evenVBand="0" w:oddHBand="0" w:evenHBand="0" w:firstRowFirstColumn="0" w:firstRowLastColumn="0" w:lastRowFirstColumn="0" w:lastRowLastColumn="0"/>
              <w:rPr>
                <w:rFonts w:eastAsia="Arial" w:cs="Arial"/>
                <w:color w:val="000000"/>
                <w:sz w:val="16"/>
                <w:szCs w:val="16"/>
                <w:lang w:eastAsia="zh-CN"/>
              </w:rPr>
            </w:pPr>
            <w:r w:rsidRPr="008D1A17">
              <w:rPr>
                <w:rFonts w:eastAsia="Arial" w:cs="Arial"/>
                <w:color w:val="000000"/>
                <w:sz w:val="16"/>
                <w:szCs w:val="16"/>
                <w:lang w:eastAsia="zh-CN"/>
              </w:rPr>
              <w:t>Historical trend data available</w:t>
            </w:r>
          </w:p>
        </w:tc>
        <w:tc>
          <w:tcPr>
            <w:tcW w:w="1205" w:type="dxa"/>
            <w:shd w:val="clear" w:color="auto" w:fill="FFFFFF" w:themeFill="background1"/>
            <w:vAlign w:val="center"/>
          </w:tcPr>
          <w:p w14:paraId="43A01362" w14:textId="77777777" w:rsidR="008D1A17" w:rsidRPr="008D1A17" w:rsidRDefault="008D1A17" w:rsidP="00BA6315">
            <w:pPr>
              <w:tabs>
                <w:tab w:val="left" w:pos="6691"/>
              </w:tabs>
              <w:spacing w:line="259" w:lineRule="auto"/>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8D1A17">
              <w:rPr>
                <w:rFonts w:cs="Arial"/>
                <w:bCs/>
                <w:sz w:val="16"/>
                <w:szCs w:val="16"/>
              </w:rPr>
              <w:t>Increase</w:t>
            </w:r>
          </w:p>
        </w:tc>
        <w:tc>
          <w:tcPr>
            <w:tcW w:w="1205" w:type="dxa"/>
            <w:shd w:val="clear" w:color="auto" w:fill="FFFFFF" w:themeFill="background1"/>
            <w:vAlign w:val="center"/>
          </w:tcPr>
          <w:p w14:paraId="6F14820C" w14:textId="77777777" w:rsidR="008D1A17" w:rsidRPr="008D1A17" w:rsidRDefault="008D1A17" w:rsidP="00BA6315">
            <w:pPr>
              <w:tabs>
                <w:tab w:val="left" w:pos="6691"/>
              </w:tabs>
              <w:spacing w:line="259" w:lineRule="auto"/>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8D1A17">
              <w:rPr>
                <w:rFonts w:cs="Arial"/>
                <w:bCs/>
                <w:sz w:val="16"/>
                <w:szCs w:val="16"/>
              </w:rPr>
              <w:t>Small</w:t>
            </w:r>
          </w:p>
        </w:tc>
      </w:tr>
      <w:tr w:rsidR="00B67E71" w:rsidRPr="000C234D" w14:paraId="720F5EA2" w14:textId="77777777" w:rsidTr="00036504">
        <w:trPr>
          <w:cnfStyle w:val="000000100000" w:firstRow="0" w:lastRow="0" w:firstColumn="0" w:lastColumn="0" w:oddVBand="0" w:evenVBand="0" w:oddHBand="1"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1560" w:type="dxa"/>
            <w:shd w:val="clear" w:color="auto" w:fill="FFFFFF" w:themeFill="background1"/>
            <w:vAlign w:val="center"/>
          </w:tcPr>
          <w:p w14:paraId="77D676F9" w14:textId="77777777" w:rsidR="008D1A17" w:rsidRPr="00540C05" w:rsidRDefault="00540C05" w:rsidP="00A14123">
            <w:pPr>
              <w:tabs>
                <w:tab w:val="left" w:pos="6691"/>
              </w:tabs>
              <w:rPr>
                <w:rFonts w:eastAsia="Calibri" w:cs="Arial"/>
                <w:sz w:val="16"/>
                <w:szCs w:val="16"/>
              </w:rPr>
            </w:pPr>
            <w:r>
              <w:rPr>
                <w:rFonts w:eastAsia="Calibri" w:cs="Arial"/>
                <w:sz w:val="16"/>
                <w:szCs w:val="16"/>
              </w:rPr>
              <w:t>General h</w:t>
            </w:r>
            <w:r w:rsidR="008D1A17" w:rsidRPr="00540C05">
              <w:rPr>
                <w:rFonts w:eastAsia="Calibri" w:cs="Arial"/>
                <w:sz w:val="16"/>
                <w:szCs w:val="16"/>
              </w:rPr>
              <w:t>ealth</w:t>
            </w:r>
          </w:p>
          <w:p w14:paraId="799F3553" w14:textId="77777777" w:rsidR="008D1A17" w:rsidRPr="00540C05" w:rsidRDefault="008D1A17" w:rsidP="00A14123">
            <w:pPr>
              <w:tabs>
                <w:tab w:val="left" w:pos="6691"/>
              </w:tabs>
              <w:rPr>
                <w:rFonts w:eastAsia="Calibri" w:cs="Arial"/>
                <w:sz w:val="16"/>
                <w:szCs w:val="16"/>
              </w:rPr>
            </w:pPr>
            <w:r w:rsidRPr="00540C05">
              <w:rPr>
                <w:rFonts w:eastAsia="Calibri" w:cs="Arial"/>
                <w:sz w:val="16"/>
                <w:szCs w:val="16"/>
              </w:rPr>
              <w:t>(Recovery)</w:t>
            </w:r>
          </w:p>
        </w:tc>
        <w:tc>
          <w:tcPr>
            <w:tcW w:w="992" w:type="dxa"/>
            <w:shd w:val="clear" w:color="auto" w:fill="FFFFFF" w:themeFill="background1"/>
            <w:vAlign w:val="center"/>
          </w:tcPr>
          <w:p w14:paraId="6BCDBB18" w14:textId="77777777" w:rsidR="008D1A17" w:rsidRPr="008D1A17" w:rsidRDefault="008D1A17" w:rsidP="00A14123">
            <w:pPr>
              <w:tabs>
                <w:tab w:val="left" w:pos="6691"/>
              </w:tabs>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r w:rsidRPr="008D1A17">
              <w:rPr>
                <w:rFonts w:eastAsia="Calibri" w:cs="Arial"/>
                <w:sz w:val="16"/>
                <w:szCs w:val="16"/>
              </w:rPr>
              <w:t>NRTWS</w:t>
            </w:r>
          </w:p>
        </w:tc>
        <w:tc>
          <w:tcPr>
            <w:tcW w:w="992" w:type="dxa"/>
            <w:shd w:val="clear" w:color="auto" w:fill="FFFFFF" w:themeFill="background1"/>
            <w:vAlign w:val="center"/>
          </w:tcPr>
          <w:p w14:paraId="4E8F70FE" w14:textId="77777777" w:rsidR="008D1A17" w:rsidRPr="008D1A17" w:rsidRDefault="0031097B" w:rsidP="00A14123">
            <w:pPr>
              <w:tabs>
                <w:tab w:val="left" w:pos="6691"/>
              </w:tabs>
              <w:spacing w:after="160" w:line="259" w:lineRule="auto"/>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br/>
            </w:r>
            <w:r w:rsidR="008D1A17" w:rsidRPr="008D1A17">
              <w:rPr>
                <w:rFonts w:cs="Arial"/>
                <w:bCs/>
                <w:sz w:val="16"/>
                <w:szCs w:val="16"/>
              </w:rPr>
              <w:t>Multiple</w:t>
            </w:r>
          </w:p>
        </w:tc>
        <w:tc>
          <w:tcPr>
            <w:tcW w:w="2693" w:type="dxa"/>
            <w:shd w:val="clear" w:color="auto" w:fill="FFFFFF" w:themeFill="background1"/>
            <w:vAlign w:val="center"/>
          </w:tcPr>
          <w:p w14:paraId="6FEEA20D" w14:textId="77777777" w:rsidR="008D1A17" w:rsidRPr="008D1A17" w:rsidRDefault="008D1A17" w:rsidP="00540C05">
            <w:pPr>
              <w:tabs>
                <w:tab w:val="left" w:pos="6691"/>
              </w:tabs>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r w:rsidRPr="008D1A17">
              <w:rPr>
                <w:rFonts w:cs="Arial"/>
                <w:sz w:val="16"/>
                <w:szCs w:val="16"/>
              </w:rPr>
              <w:t xml:space="preserve">Percentage of all workers with good </w:t>
            </w:r>
            <w:r w:rsidR="00540C05">
              <w:rPr>
                <w:rFonts w:cs="Arial"/>
                <w:sz w:val="16"/>
                <w:szCs w:val="16"/>
              </w:rPr>
              <w:t>to excellent self-rated health</w:t>
            </w:r>
          </w:p>
        </w:tc>
        <w:tc>
          <w:tcPr>
            <w:tcW w:w="6379" w:type="dxa"/>
            <w:shd w:val="clear" w:color="auto" w:fill="FFFFFF" w:themeFill="background1"/>
            <w:vAlign w:val="center"/>
          </w:tcPr>
          <w:p w14:paraId="30CBCE80" w14:textId="77777777" w:rsidR="008D1A17" w:rsidRPr="008D1A17" w:rsidRDefault="008D1A17" w:rsidP="008D1A17">
            <w:pPr>
              <w:numPr>
                <w:ilvl w:val="0"/>
                <w:numId w:val="10"/>
              </w:numPr>
              <w:tabs>
                <w:tab w:val="left" w:pos="6691"/>
              </w:tabs>
              <w:spacing w:before="120" w:line="240" w:lineRule="auto"/>
              <w:ind w:left="319" w:hanging="284"/>
              <w:contextualSpacing/>
              <w:cnfStyle w:val="000000100000" w:firstRow="0" w:lastRow="0" w:firstColumn="0" w:lastColumn="0" w:oddVBand="0" w:evenVBand="0" w:oddHBand="1" w:evenHBand="0" w:firstRowFirstColumn="0" w:firstRowLastColumn="0" w:lastRowFirstColumn="0" w:lastRowLastColumn="0"/>
              <w:rPr>
                <w:rFonts w:eastAsia="Arial" w:cs="Arial"/>
                <w:color w:val="000000"/>
                <w:sz w:val="16"/>
                <w:szCs w:val="16"/>
                <w:lang w:eastAsia="zh-CN"/>
              </w:rPr>
            </w:pPr>
            <w:r w:rsidRPr="008D1A17">
              <w:rPr>
                <w:rFonts w:eastAsia="Arial" w:cs="Arial"/>
                <w:color w:val="000000"/>
                <w:sz w:val="16"/>
                <w:szCs w:val="16"/>
                <w:lang w:eastAsia="zh-CN"/>
              </w:rPr>
              <w:t>Assesses key strategic outcome of health and recovery which is linked to return to work</w:t>
            </w:r>
          </w:p>
          <w:p w14:paraId="15BDCF0E" w14:textId="77777777" w:rsidR="008D1A17" w:rsidRPr="008D1A17" w:rsidRDefault="008D1A17" w:rsidP="008D1A17">
            <w:pPr>
              <w:numPr>
                <w:ilvl w:val="0"/>
                <w:numId w:val="10"/>
              </w:numPr>
              <w:tabs>
                <w:tab w:val="left" w:pos="6691"/>
              </w:tabs>
              <w:spacing w:before="120" w:line="240" w:lineRule="auto"/>
              <w:ind w:left="319" w:hanging="284"/>
              <w:contextualSpacing/>
              <w:cnfStyle w:val="000000100000" w:firstRow="0" w:lastRow="0" w:firstColumn="0" w:lastColumn="0" w:oddVBand="0" w:evenVBand="0" w:oddHBand="1" w:evenHBand="0" w:firstRowFirstColumn="0" w:firstRowLastColumn="0" w:lastRowFirstColumn="0" w:lastRowLastColumn="0"/>
              <w:rPr>
                <w:rFonts w:eastAsia="Arial" w:cs="Arial"/>
                <w:color w:val="000000"/>
                <w:sz w:val="16"/>
                <w:szCs w:val="16"/>
                <w:lang w:eastAsia="zh-CN"/>
              </w:rPr>
            </w:pPr>
            <w:r w:rsidRPr="008D1A17">
              <w:rPr>
                <w:rFonts w:eastAsia="Arial" w:cs="Arial"/>
                <w:color w:val="000000"/>
                <w:sz w:val="16"/>
                <w:szCs w:val="16"/>
                <w:lang w:eastAsia="zh-CN"/>
              </w:rPr>
              <w:t>Uses a validated general health screening scale</w:t>
            </w:r>
          </w:p>
          <w:p w14:paraId="2DBD1BA9" w14:textId="77777777" w:rsidR="008D1A17" w:rsidRPr="008D1A17" w:rsidRDefault="008D1A17" w:rsidP="008D1A17">
            <w:pPr>
              <w:numPr>
                <w:ilvl w:val="0"/>
                <w:numId w:val="10"/>
              </w:numPr>
              <w:tabs>
                <w:tab w:val="left" w:pos="6691"/>
              </w:tabs>
              <w:spacing w:before="120" w:line="240" w:lineRule="auto"/>
              <w:ind w:left="319" w:hanging="284"/>
              <w:contextualSpacing/>
              <w:cnfStyle w:val="000000100000" w:firstRow="0" w:lastRow="0" w:firstColumn="0" w:lastColumn="0" w:oddVBand="0" w:evenVBand="0" w:oddHBand="1" w:evenHBand="0" w:firstRowFirstColumn="0" w:firstRowLastColumn="0" w:lastRowFirstColumn="0" w:lastRowLastColumn="0"/>
              <w:rPr>
                <w:rFonts w:eastAsia="Arial" w:cs="Arial"/>
                <w:color w:val="000000"/>
                <w:sz w:val="16"/>
                <w:szCs w:val="16"/>
                <w:lang w:eastAsia="zh-CN"/>
              </w:rPr>
            </w:pPr>
            <w:r w:rsidRPr="008D1A17">
              <w:rPr>
                <w:rFonts w:eastAsia="Arial" w:cs="Arial"/>
                <w:color w:val="000000"/>
                <w:sz w:val="16"/>
                <w:szCs w:val="16"/>
                <w:lang w:eastAsia="zh-CN"/>
              </w:rPr>
              <w:t>Provides additional information on health state beyond return to work status</w:t>
            </w:r>
          </w:p>
          <w:p w14:paraId="4ADAF87D" w14:textId="77777777" w:rsidR="008D1A17" w:rsidRPr="008D1A17" w:rsidRDefault="008D1A17" w:rsidP="008D1A17">
            <w:pPr>
              <w:numPr>
                <w:ilvl w:val="0"/>
                <w:numId w:val="10"/>
              </w:numPr>
              <w:tabs>
                <w:tab w:val="left" w:pos="6691"/>
              </w:tabs>
              <w:spacing w:before="120" w:line="240" w:lineRule="auto"/>
              <w:ind w:left="319" w:hanging="284"/>
              <w:contextualSpacing/>
              <w:cnfStyle w:val="000000100000" w:firstRow="0" w:lastRow="0" w:firstColumn="0" w:lastColumn="0" w:oddVBand="0" w:evenVBand="0" w:oddHBand="1" w:evenHBand="0" w:firstRowFirstColumn="0" w:firstRowLastColumn="0" w:lastRowFirstColumn="0" w:lastRowLastColumn="0"/>
              <w:rPr>
                <w:rFonts w:eastAsia="Arial" w:cs="Arial"/>
                <w:color w:val="000000"/>
                <w:sz w:val="16"/>
                <w:szCs w:val="16"/>
                <w:lang w:eastAsia="zh-CN"/>
              </w:rPr>
            </w:pPr>
            <w:r w:rsidRPr="008D1A17">
              <w:rPr>
                <w:rFonts w:eastAsia="Arial" w:cs="Arial"/>
                <w:color w:val="000000"/>
                <w:sz w:val="16"/>
                <w:szCs w:val="16"/>
                <w:lang w:eastAsia="zh-CN"/>
              </w:rPr>
              <w:t>Baseline data available from 2018</w:t>
            </w:r>
          </w:p>
        </w:tc>
        <w:tc>
          <w:tcPr>
            <w:tcW w:w="1205" w:type="dxa"/>
            <w:shd w:val="clear" w:color="auto" w:fill="FFFFFF" w:themeFill="background1"/>
            <w:vAlign w:val="center"/>
          </w:tcPr>
          <w:p w14:paraId="4D7BA1EF" w14:textId="77777777" w:rsidR="008D1A17" w:rsidRPr="008D1A17" w:rsidRDefault="008D1A17" w:rsidP="00BA6315">
            <w:pPr>
              <w:tabs>
                <w:tab w:val="left" w:pos="6691"/>
              </w:tabs>
              <w:spacing w:line="259" w:lineRule="auto"/>
              <w:cnfStyle w:val="000000100000" w:firstRow="0" w:lastRow="0" w:firstColumn="0" w:lastColumn="0" w:oddVBand="0" w:evenVBand="0" w:oddHBand="1" w:evenHBand="0" w:firstRowFirstColumn="0" w:firstRowLastColumn="0" w:lastRowFirstColumn="0" w:lastRowLastColumn="0"/>
              <w:rPr>
                <w:rFonts w:cs="Arial"/>
                <w:bCs/>
                <w:sz w:val="16"/>
                <w:szCs w:val="16"/>
              </w:rPr>
            </w:pPr>
            <w:r w:rsidRPr="008D1A17">
              <w:rPr>
                <w:rFonts w:cs="Arial"/>
                <w:bCs/>
                <w:sz w:val="16"/>
                <w:szCs w:val="16"/>
              </w:rPr>
              <w:t>Increase</w:t>
            </w:r>
          </w:p>
        </w:tc>
        <w:tc>
          <w:tcPr>
            <w:tcW w:w="1205" w:type="dxa"/>
            <w:shd w:val="clear" w:color="auto" w:fill="FFFFFF" w:themeFill="background1"/>
            <w:vAlign w:val="center"/>
          </w:tcPr>
          <w:p w14:paraId="1B003574" w14:textId="77777777" w:rsidR="008D1A17" w:rsidRPr="008D1A17" w:rsidRDefault="008D1A17" w:rsidP="00BA6315">
            <w:pPr>
              <w:tabs>
                <w:tab w:val="left" w:pos="6691"/>
              </w:tabs>
              <w:spacing w:line="259" w:lineRule="auto"/>
              <w:cnfStyle w:val="000000100000" w:firstRow="0" w:lastRow="0" w:firstColumn="0" w:lastColumn="0" w:oddVBand="0" w:evenVBand="0" w:oddHBand="1" w:evenHBand="0" w:firstRowFirstColumn="0" w:firstRowLastColumn="0" w:lastRowFirstColumn="0" w:lastRowLastColumn="0"/>
              <w:rPr>
                <w:rFonts w:cs="Arial"/>
                <w:bCs/>
                <w:sz w:val="16"/>
                <w:szCs w:val="16"/>
              </w:rPr>
            </w:pPr>
            <w:r w:rsidRPr="008D1A17">
              <w:rPr>
                <w:rFonts w:cs="Arial"/>
                <w:bCs/>
                <w:sz w:val="16"/>
                <w:szCs w:val="16"/>
              </w:rPr>
              <w:t>Moderate</w:t>
            </w:r>
          </w:p>
        </w:tc>
      </w:tr>
      <w:tr w:rsidR="008D1A17" w:rsidRPr="000C234D" w14:paraId="74D57003" w14:textId="77777777" w:rsidTr="00036504">
        <w:trPr>
          <w:trHeight w:val="1052"/>
        </w:trPr>
        <w:tc>
          <w:tcPr>
            <w:cnfStyle w:val="001000000000" w:firstRow="0" w:lastRow="0" w:firstColumn="1" w:lastColumn="0" w:oddVBand="0" w:evenVBand="0" w:oddHBand="0" w:evenHBand="0" w:firstRowFirstColumn="0" w:firstRowLastColumn="0" w:lastRowFirstColumn="0" w:lastRowLastColumn="0"/>
            <w:tcW w:w="1560" w:type="dxa"/>
            <w:shd w:val="clear" w:color="auto" w:fill="FFFFFF" w:themeFill="background1"/>
            <w:vAlign w:val="center"/>
          </w:tcPr>
          <w:p w14:paraId="52AE4F3B" w14:textId="77777777" w:rsidR="008D1A17" w:rsidRPr="00540C05" w:rsidRDefault="008D1A17" w:rsidP="00A14123">
            <w:pPr>
              <w:tabs>
                <w:tab w:val="left" w:pos="6691"/>
              </w:tabs>
              <w:rPr>
                <w:rFonts w:eastAsia="Calibri" w:cs="Arial"/>
                <w:sz w:val="16"/>
                <w:szCs w:val="16"/>
              </w:rPr>
            </w:pPr>
            <w:r w:rsidRPr="00540C05">
              <w:rPr>
                <w:rFonts w:eastAsia="Calibri" w:cs="Arial"/>
                <w:sz w:val="16"/>
                <w:szCs w:val="16"/>
              </w:rPr>
              <w:t xml:space="preserve">Work role functioning </w:t>
            </w:r>
          </w:p>
          <w:p w14:paraId="0422774F" w14:textId="77777777" w:rsidR="008D1A17" w:rsidRPr="00540C05" w:rsidRDefault="008D1A17" w:rsidP="00A14123">
            <w:pPr>
              <w:tabs>
                <w:tab w:val="left" w:pos="6691"/>
              </w:tabs>
              <w:rPr>
                <w:rFonts w:eastAsia="Calibri" w:cs="Arial"/>
                <w:sz w:val="16"/>
                <w:szCs w:val="16"/>
              </w:rPr>
            </w:pPr>
            <w:r w:rsidRPr="00540C05">
              <w:rPr>
                <w:rFonts w:eastAsia="Calibri" w:cs="Arial"/>
                <w:sz w:val="16"/>
                <w:szCs w:val="16"/>
              </w:rPr>
              <w:t>(Recovery)</w:t>
            </w:r>
          </w:p>
        </w:tc>
        <w:tc>
          <w:tcPr>
            <w:tcW w:w="992" w:type="dxa"/>
            <w:shd w:val="clear" w:color="auto" w:fill="FFFFFF" w:themeFill="background1"/>
            <w:vAlign w:val="center"/>
          </w:tcPr>
          <w:p w14:paraId="3947C241" w14:textId="77777777" w:rsidR="008D1A17" w:rsidRPr="008D1A17" w:rsidRDefault="008D1A17" w:rsidP="00A14123">
            <w:pPr>
              <w:tabs>
                <w:tab w:val="left" w:pos="6691"/>
              </w:tabs>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8D1A17">
              <w:rPr>
                <w:rFonts w:eastAsia="Calibri" w:cs="Arial"/>
                <w:sz w:val="16"/>
                <w:szCs w:val="16"/>
              </w:rPr>
              <w:t>NRTWS</w:t>
            </w:r>
          </w:p>
        </w:tc>
        <w:tc>
          <w:tcPr>
            <w:tcW w:w="992" w:type="dxa"/>
            <w:shd w:val="clear" w:color="auto" w:fill="FFFFFF" w:themeFill="background1"/>
            <w:vAlign w:val="center"/>
          </w:tcPr>
          <w:p w14:paraId="10F40611" w14:textId="77777777" w:rsidR="008D1A17" w:rsidRPr="008D1A17" w:rsidRDefault="0031097B" w:rsidP="00A14123">
            <w:pPr>
              <w:tabs>
                <w:tab w:val="left" w:pos="6691"/>
              </w:tabs>
              <w:spacing w:after="160" w:line="259" w:lineRule="auto"/>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br/>
            </w:r>
            <w:r w:rsidR="008D1A17" w:rsidRPr="008D1A17">
              <w:rPr>
                <w:rFonts w:cs="Arial"/>
                <w:bCs/>
                <w:sz w:val="16"/>
                <w:szCs w:val="16"/>
              </w:rPr>
              <w:t>Multiple</w:t>
            </w:r>
          </w:p>
        </w:tc>
        <w:tc>
          <w:tcPr>
            <w:tcW w:w="2693" w:type="dxa"/>
            <w:shd w:val="clear" w:color="auto" w:fill="FFFFFF" w:themeFill="background1"/>
            <w:vAlign w:val="center"/>
          </w:tcPr>
          <w:p w14:paraId="7C997477" w14:textId="77777777" w:rsidR="008D1A17" w:rsidRPr="008D1A17" w:rsidRDefault="008D1A17" w:rsidP="00A14123">
            <w:pPr>
              <w:tabs>
                <w:tab w:val="left" w:pos="6691"/>
              </w:tabs>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8D1A17">
              <w:rPr>
                <w:rFonts w:cs="Arial"/>
                <w:sz w:val="16"/>
                <w:szCs w:val="16"/>
              </w:rPr>
              <w:t>Average Work Role Functioning Questionnaire score in workers who had returne</w:t>
            </w:r>
            <w:r w:rsidR="00540C05">
              <w:rPr>
                <w:rFonts w:cs="Arial"/>
                <w:sz w:val="16"/>
                <w:szCs w:val="16"/>
              </w:rPr>
              <w:t>d to work</w:t>
            </w:r>
          </w:p>
        </w:tc>
        <w:tc>
          <w:tcPr>
            <w:tcW w:w="6379" w:type="dxa"/>
            <w:shd w:val="clear" w:color="auto" w:fill="FFFFFF" w:themeFill="background1"/>
            <w:vAlign w:val="center"/>
          </w:tcPr>
          <w:p w14:paraId="26160593" w14:textId="77777777" w:rsidR="008D1A17" w:rsidRPr="008D1A17" w:rsidRDefault="008D1A17" w:rsidP="008D1A17">
            <w:pPr>
              <w:numPr>
                <w:ilvl w:val="0"/>
                <w:numId w:val="10"/>
              </w:numPr>
              <w:tabs>
                <w:tab w:val="left" w:pos="6691"/>
              </w:tabs>
              <w:spacing w:before="120" w:line="240" w:lineRule="auto"/>
              <w:ind w:left="319" w:hanging="284"/>
              <w:contextualSpacing/>
              <w:cnfStyle w:val="000000000000" w:firstRow="0" w:lastRow="0" w:firstColumn="0" w:lastColumn="0" w:oddVBand="0" w:evenVBand="0" w:oddHBand="0" w:evenHBand="0" w:firstRowFirstColumn="0" w:firstRowLastColumn="0" w:lastRowFirstColumn="0" w:lastRowLastColumn="0"/>
              <w:rPr>
                <w:rFonts w:eastAsia="Arial" w:cs="Arial"/>
                <w:color w:val="000000"/>
                <w:sz w:val="16"/>
                <w:szCs w:val="16"/>
                <w:lang w:eastAsia="zh-CN"/>
              </w:rPr>
            </w:pPr>
            <w:r w:rsidRPr="008D1A17">
              <w:rPr>
                <w:rFonts w:eastAsia="Arial" w:cs="Arial"/>
                <w:color w:val="000000"/>
                <w:sz w:val="16"/>
                <w:szCs w:val="16"/>
                <w:lang w:eastAsia="zh-CN"/>
              </w:rPr>
              <w:t>Assesses key strategic outcome of recovery of function</w:t>
            </w:r>
          </w:p>
          <w:p w14:paraId="35E0941F" w14:textId="77777777" w:rsidR="008D1A17" w:rsidRPr="008D1A17" w:rsidRDefault="008D1A17" w:rsidP="008D1A17">
            <w:pPr>
              <w:numPr>
                <w:ilvl w:val="0"/>
                <w:numId w:val="10"/>
              </w:numPr>
              <w:tabs>
                <w:tab w:val="left" w:pos="6691"/>
              </w:tabs>
              <w:spacing w:before="120" w:line="240" w:lineRule="auto"/>
              <w:ind w:left="319" w:hanging="284"/>
              <w:contextualSpacing/>
              <w:cnfStyle w:val="000000000000" w:firstRow="0" w:lastRow="0" w:firstColumn="0" w:lastColumn="0" w:oddVBand="0" w:evenVBand="0" w:oddHBand="0" w:evenHBand="0" w:firstRowFirstColumn="0" w:firstRowLastColumn="0" w:lastRowFirstColumn="0" w:lastRowLastColumn="0"/>
              <w:rPr>
                <w:rFonts w:eastAsia="Arial" w:cs="Arial"/>
                <w:color w:val="000000"/>
                <w:sz w:val="16"/>
                <w:szCs w:val="16"/>
                <w:lang w:eastAsia="zh-CN"/>
              </w:rPr>
            </w:pPr>
            <w:r w:rsidRPr="008D1A17">
              <w:rPr>
                <w:rFonts w:eastAsia="Arial" w:cs="Arial"/>
                <w:color w:val="000000"/>
                <w:sz w:val="16"/>
                <w:szCs w:val="16"/>
                <w:lang w:eastAsia="zh-CN"/>
              </w:rPr>
              <w:t>Uses validated scale - the Work Role Functioning Questionnaire</w:t>
            </w:r>
          </w:p>
          <w:p w14:paraId="039F3A30" w14:textId="77777777" w:rsidR="008D1A17" w:rsidRPr="008D1A17" w:rsidRDefault="008D1A17" w:rsidP="008D1A17">
            <w:pPr>
              <w:numPr>
                <w:ilvl w:val="0"/>
                <w:numId w:val="10"/>
              </w:numPr>
              <w:tabs>
                <w:tab w:val="left" w:pos="6691"/>
              </w:tabs>
              <w:spacing w:before="120" w:line="240" w:lineRule="auto"/>
              <w:ind w:left="319" w:hanging="284"/>
              <w:contextualSpacing/>
              <w:cnfStyle w:val="000000000000" w:firstRow="0" w:lastRow="0" w:firstColumn="0" w:lastColumn="0" w:oddVBand="0" w:evenVBand="0" w:oddHBand="0" w:evenHBand="0" w:firstRowFirstColumn="0" w:firstRowLastColumn="0" w:lastRowFirstColumn="0" w:lastRowLastColumn="0"/>
              <w:rPr>
                <w:rFonts w:eastAsia="Arial" w:cs="Arial"/>
                <w:color w:val="000000"/>
                <w:sz w:val="16"/>
                <w:szCs w:val="16"/>
                <w:lang w:eastAsia="zh-CN"/>
              </w:rPr>
            </w:pPr>
            <w:r w:rsidRPr="008D1A17">
              <w:rPr>
                <w:rFonts w:eastAsia="Arial" w:cs="Arial"/>
                <w:color w:val="000000"/>
                <w:sz w:val="16"/>
                <w:szCs w:val="16"/>
                <w:lang w:eastAsia="zh-CN"/>
              </w:rPr>
              <w:t>Provides additional information on function beyond Durable return to work rate</w:t>
            </w:r>
          </w:p>
          <w:p w14:paraId="0BAC66F8" w14:textId="77777777" w:rsidR="008D1A17" w:rsidRDefault="008D1A17" w:rsidP="008D1A17">
            <w:pPr>
              <w:numPr>
                <w:ilvl w:val="0"/>
                <w:numId w:val="10"/>
              </w:numPr>
              <w:tabs>
                <w:tab w:val="left" w:pos="6691"/>
              </w:tabs>
              <w:spacing w:before="120" w:line="240" w:lineRule="auto"/>
              <w:ind w:left="319" w:hanging="284"/>
              <w:contextualSpacing/>
              <w:cnfStyle w:val="000000000000" w:firstRow="0" w:lastRow="0" w:firstColumn="0" w:lastColumn="0" w:oddVBand="0" w:evenVBand="0" w:oddHBand="0" w:evenHBand="0" w:firstRowFirstColumn="0" w:firstRowLastColumn="0" w:lastRowFirstColumn="0" w:lastRowLastColumn="0"/>
              <w:rPr>
                <w:rFonts w:eastAsia="Arial" w:cs="Arial"/>
                <w:color w:val="000000"/>
                <w:sz w:val="16"/>
                <w:szCs w:val="16"/>
                <w:lang w:eastAsia="zh-CN"/>
              </w:rPr>
            </w:pPr>
            <w:r w:rsidRPr="008D1A17">
              <w:rPr>
                <w:rFonts w:eastAsia="Arial" w:cs="Arial"/>
                <w:color w:val="000000"/>
                <w:sz w:val="16"/>
                <w:szCs w:val="16"/>
                <w:lang w:eastAsia="zh-CN"/>
              </w:rPr>
              <w:t>Provides an estimate of whether workers have returned at full or partial capacity</w:t>
            </w:r>
          </w:p>
          <w:p w14:paraId="0E87FD83" w14:textId="3CB8BB07" w:rsidR="000E5527" w:rsidRPr="008D1A17" w:rsidRDefault="00454A1D" w:rsidP="00D82511">
            <w:pPr>
              <w:numPr>
                <w:ilvl w:val="0"/>
                <w:numId w:val="10"/>
              </w:numPr>
              <w:tabs>
                <w:tab w:val="left" w:pos="6691"/>
              </w:tabs>
              <w:spacing w:before="120" w:line="240" w:lineRule="auto"/>
              <w:ind w:left="319" w:hanging="284"/>
              <w:contextualSpacing/>
              <w:cnfStyle w:val="000000000000" w:firstRow="0" w:lastRow="0" w:firstColumn="0" w:lastColumn="0" w:oddVBand="0" w:evenVBand="0" w:oddHBand="0" w:evenHBand="0" w:firstRowFirstColumn="0" w:firstRowLastColumn="0" w:lastRowFirstColumn="0" w:lastRowLastColumn="0"/>
              <w:rPr>
                <w:rFonts w:eastAsia="Arial" w:cs="Arial"/>
                <w:color w:val="000000"/>
                <w:sz w:val="16"/>
                <w:szCs w:val="16"/>
                <w:lang w:eastAsia="zh-CN"/>
              </w:rPr>
            </w:pPr>
            <w:r>
              <w:rPr>
                <w:rFonts w:eastAsia="Arial" w:cs="Arial"/>
                <w:color w:val="000000"/>
                <w:sz w:val="16"/>
                <w:szCs w:val="16"/>
                <w:lang w:eastAsia="zh-CN"/>
              </w:rPr>
              <w:t xml:space="preserve">See </w:t>
            </w:r>
            <w:hyperlink r:id="rId18" w:history="1">
              <w:r w:rsidR="009C09D2" w:rsidRPr="009C09D2">
                <w:rPr>
                  <w:rStyle w:val="Hyperlink"/>
                  <w:rFonts w:eastAsia="Arial" w:cs="Arial"/>
                  <w:sz w:val="16"/>
                  <w:szCs w:val="16"/>
                  <w:lang w:eastAsia="zh-CN"/>
                </w:rPr>
                <w:t>NRTWS 2018 questionnaire</w:t>
              </w:r>
            </w:hyperlink>
            <w:r w:rsidR="009C09D2">
              <w:rPr>
                <w:rFonts w:eastAsia="Arial" w:cs="Arial"/>
                <w:color w:val="000000"/>
                <w:sz w:val="16"/>
                <w:szCs w:val="16"/>
                <w:lang w:eastAsia="zh-CN"/>
              </w:rPr>
              <w:t xml:space="preserve"> – question JP9, page 15 </w:t>
            </w:r>
          </w:p>
        </w:tc>
        <w:tc>
          <w:tcPr>
            <w:tcW w:w="1205" w:type="dxa"/>
            <w:shd w:val="clear" w:color="auto" w:fill="FFFFFF" w:themeFill="background1"/>
            <w:vAlign w:val="center"/>
          </w:tcPr>
          <w:p w14:paraId="1215354D" w14:textId="77777777" w:rsidR="008D1A17" w:rsidRPr="008D1A17" w:rsidRDefault="008D1A17" w:rsidP="00BA6315">
            <w:pPr>
              <w:tabs>
                <w:tab w:val="left" w:pos="6691"/>
              </w:tabs>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8D1A17">
              <w:rPr>
                <w:rFonts w:cs="Arial"/>
                <w:bCs/>
                <w:sz w:val="16"/>
                <w:szCs w:val="16"/>
              </w:rPr>
              <w:t>Increase</w:t>
            </w:r>
          </w:p>
        </w:tc>
        <w:tc>
          <w:tcPr>
            <w:tcW w:w="1205" w:type="dxa"/>
            <w:shd w:val="clear" w:color="auto" w:fill="FFFFFF" w:themeFill="background1"/>
            <w:vAlign w:val="center"/>
          </w:tcPr>
          <w:p w14:paraId="52AA92FA" w14:textId="77777777" w:rsidR="008D1A17" w:rsidRPr="008D1A17" w:rsidRDefault="008D1A17" w:rsidP="00BA6315">
            <w:pPr>
              <w:tabs>
                <w:tab w:val="left" w:pos="6691"/>
              </w:tabs>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8D1A17">
              <w:rPr>
                <w:rFonts w:cs="Arial"/>
                <w:bCs/>
                <w:sz w:val="16"/>
                <w:szCs w:val="16"/>
              </w:rPr>
              <w:t>Moderate</w:t>
            </w:r>
          </w:p>
        </w:tc>
      </w:tr>
      <w:tr w:rsidR="00B67E71" w:rsidRPr="000C234D" w14:paraId="486993AD" w14:textId="77777777" w:rsidTr="00036504">
        <w:trPr>
          <w:cnfStyle w:val="000000100000" w:firstRow="0" w:lastRow="0" w:firstColumn="0" w:lastColumn="0" w:oddVBand="0" w:evenVBand="0" w:oddHBand="1"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1560" w:type="dxa"/>
            <w:shd w:val="clear" w:color="auto" w:fill="FFFFFF" w:themeFill="background1"/>
            <w:vAlign w:val="center"/>
          </w:tcPr>
          <w:p w14:paraId="3B371236" w14:textId="77777777" w:rsidR="008D1A17" w:rsidRPr="00540C05" w:rsidRDefault="008D1A17" w:rsidP="00A14123">
            <w:pPr>
              <w:tabs>
                <w:tab w:val="left" w:pos="6691"/>
              </w:tabs>
              <w:rPr>
                <w:rFonts w:eastAsia="Calibri" w:cs="Arial"/>
                <w:sz w:val="16"/>
                <w:szCs w:val="16"/>
              </w:rPr>
            </w:pPr>
            <w:r w:rsidRPr="00540C05">
              <w:rPr>
                <w:rFonts w:eastAsia="Calibri" w:cs="Arial"/>
                <w:sz w:val="16"/>
                <w:szCs w:val="16"/>
              </w:rPr>
              <w:t>Stay at work*</w:t>
            </w:r>
            <w:r w:rsidRPr="00540C05">
              <w:rPr>
                <w:sz w:val="16"/>
                <w:szCs w:val="16"/>
              </w:rPr>
              <w:t>*</w:t>
            </w:r>
          </w:p>
        </w:tc>
        <w:tc>
          <w:tcPr>
            <w:tcW w:w="992" w:type="dxa"/>
            <w:shd w:val="clear" w:color="auto" w:fill="FFFFFF" w:themeFill="background1"/>
            <w:vAlign w:val="center"/>
          </w:tcPr>
          <w:p w14:paraId="4AC2637B" w14:textId="77777777" w:rsidR="008D1A17" w:rsidRPr="008D1A17" w:rsidRDefault="008D1A17" w:rsidP="00A14123">
            <w:pPr>
              <w:tabs>
                <w:tab w:val="left" w:pos="6691"/>
              </w:tabs>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r w:rsidRPr="008D1A17">
              <w:rPr>
                <w:rFonts w:eastAsia="Calibri" w:cs="Arial"/>
                <w:sz w:val="16"/>
                <w:szCs w:val="16"/>
              </w:rPr>
              <w:t>NDS</w:t>
            </w:r>
          </w:p>
        </w:tc>
        <w:tc>
          <w:tcPr>
            <w:tcW w:w="992" w:type="dxa"/>
            <w:shd w:val="clear" w:color="auto" w:fill="FFFFFF" w:themeFill="background1"/>
            <w:vAlign w:val="center"/>
          </w:tcPr>
          <w:p w14:paraId="1E6F3290" w14:textId="77777777" w:rsidR="008D1A17" w:rsidRPr="008D1A17" w:rsidRDefault="0031097B" w:rsidP="00A14123">
            <w:pPr>
              <w:tabs>
                <w:tab w:val="left" w:pos="6691"/>
              </w:tabs>
              <w:spacing w:after="160" w:line="259" w:lineRule="auto"/>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br/>
            </w:r>
            <w:r w:rsidR="008D1A17" w:rsidRPr="008D1A17">
              <w:rPr>
                <w:rFonts w:cs="Arial"/>
                <w:bCs/>
                <w:sz w:val="16"/>
                <w:szCs w:val="16"/>
              </w:rPr>
              <w:t>Multiple</w:t>
            </w:r>
          </w:p>
        </w:tc>
        <w:tc>
          <w:tcPr>
            <w:tcW w:w="2693" w:type="dxa"/>
            <w:shd w:val="clear" w:color="auto" w:fill="FFFFFF" w:themeFill="background1"/>
            <w:vAlign w:val="center"/>
          </w:tcPr>
          <w:p w14:paraId="2AF37FBA" w14:textId="77777777" w:rsidR="008D1A17" w:rsidRPr="008D1A17" w:rsidRDefault="008D1A17" w:rsidP="00540C05">
            <w:pPr>
              <w:tabs>
                <w:tab w:val="left" w:pos="6691"/>
              </w:tabs>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r w:rsidRPr="008D1A17">
              <w:rPr>
                <w:rFonts w:cs="Arial"/>
                <w:sz w:val="16"/>
                <w:szCs w:val="16"/>
              </w:rPr>
              <w:t>Rate of claim</w:t>
            </w:r>
            <w:r w:rsidR="00540C05">
              <w:rPr>
                <w:rFonts w:cs="Arial"/>
                <w:sz w:val="16"/>
                <w:szCs w:val="16"/>
              </w:rPr>
              <w:t>s that do not involve time loss</w:t>
            </w:r>
          </w:p>
        </w:tc>
        <w:tc>
          <w:tcPr>
            <w:tcW w:w="6379" w:type="dxa"/>
            <w:shd w:val="clear" w:color="auto" w:fill="FFFFFF" w:themeFill="background1"/>
            <w:vAlign w:val="center"/>
          </w:tcPr>
          <w:p w14:paraId="5A77CC00" w14:textId="77777777" w:rsidR="008D1A17" w:rsidRPr="008D1A17" w:rsidRDefault="008D1A17" w:rsidP="008D1A17">
            <w:pPr>
              <w:numPr>
                <w:ilvl w:val="0"/>
                <w:numId w:val="10"/>
              </w:numPr>
              <w:tabs>
                <w:tab w:val="left" w:pos="6691"/>
              </w:tabs>
              <w:spacing w:before="120" w:line="240" w:lineRule="auto"/>
              <w:ind w:left="319" w:hanging="284"/>
              <w:contextualSpacing/>
              <w:cnfStyle w:val="000000100000" w:firstRow="0" w:lastRow="0" w:firstColumn="0" w:lastColumn="0" w:oddVBand="0" w:evenVBand="0" w:oddHBand="1" w:evenHBand="0" w:firstRowFirstColumn="0" w:firstRowLastColumn="0" w:lastRowFirstColumn="0" w:lastRowLastColumn="0"/>
              <w:rPr>
                <w:rFonts w:eastAsia="Arial" w:cs="Arial"/>
                <w:color w:val="000000"/>
                <w:sz w:val="16"/>
                <w:szCs w:val="16"/>
                <w:lang w:eastAsia="zh-CN"/>
              </w:rPr>
            </w:pPr>
            <w:r w:rsidRPr="008D1A17">
              <w:rPr>
                <w:rFonts w:eastAsia="Arial" w:cs="Arial"/>
                <w:color w:val="000000"/>
                <w:sz w:val="16"/>
                <w:szCs w:val="16"/>
                <w:lang w:eastAsia="zh-CN"/>
              </w:rPr>
              <w:t>Already in use as measure of stay at work in some jurisdictions</w:t>
            </w:r>
          </w:p>
          <w:p w14:paraId="40D9F624" w14:textId="77777777" w:rsidR="008D1A17" w:rsidRPr="008D1A17" w:rsidRDefault="008D1A17" w:rsidP="008D1A17">
            <w:pPr>
              <w:numPr>
                <w:ilvl w:val="0"/>
                <w:numId w:val="10"/>
              </w:numPr>
              <w:tabs>
                <w:tab w:val="left" w:pos="6691"/>
              </w:tabs>
              <w:spacing w:before="120" w:line="240" w:lineRule="auto"/>
              <w:ind w:left="319" w:hanging="284"/>
              <w:contextualSpacing/>
              <w:cnfStyle w:val="000000100000" w:firstRow="0" w:lastRow="0" w:firstColumn="0" w:lastColumn="0" w:oddVBand="0" w:evenVBand="0" w:oddHBand="1" w:evenHBand="0" w:firstRowFirstColumn="0" w:firstRowLastColumn="0" w:lastRowFirstColumn="0" w:lastRowLastColumn="0"/>
              <w:rPr>
                <w:rFonts w:eastAsia="Arial" w:cs="Arial"/>
                <w:color w:val="000000"/>
                <w:sz w:val="16"/>
                <w:szCs w:val="16"/>
                <w:lang w:eastAsia="zh-CN"/>
              </w:rPr>
            </w:pPr>
            <w:r w:rsidRPr="008D1A17">
              <w:rPr>
                <w:rFonts w:eastAsia="Arial" w:cs="Arial"/>
                <w:color w:val="000000"/>
                <w:sz w:val="16"/>
                <w:szCs w:val="16"/>
                <w:lang w:eastAsia="zh-CN"/>
              </w:rPr>
              <w:t>Indicates workers continuing to work while recovering from injury</w:t>
            </w:r>
          </w:p>
          <w:p w14:paraId="04C48A44" w14:textId="77777777" w:rsidR="008D1A17" w:rsidRPr="008D1A17" w:rsidRDefault="008D1A17" w:rsidP="008D1A17">
            <w:pPr>
              <w:numPr>
                <w:ilvl w:val="0"/>
                <w:numId w:val="10"/>
              </w:numPr>
              <w:tabs>
                <w:tab w:val="left" w:pos="6691"/>
              </w:tabs>
              <w:spacing w:before="120" w:line="240" w:lineRule="auto"/>
              <w:ind w:left="319" w:hanging="284"/>
              <w:contextualSpacing/>
              <w:cnfStyle w:val="000000100000" w:firstRow="0" w:lastRow="0" w:firstColumn="0" w:lastColumn="0" w:oddVBand="0" w:evenVBand="0" w:oddHBand="1" w:evenHBand="0" w:firstRowFirstColumn="0" w:firstRowLastColumn="0" w:lastRowFirstColumn="0" w:lastRowLastColumn="0"/>
              <w:rPr>
                <w:rFonts w:eastAsia="Arial" w:cs="Arial"/>
                <w:color w:val="000000"/>
                <w:sz w:val="16"/>
                <w:szCs w:val="16"/>
                <w:lang w:eastAsia="zh-CN"/>
              </w:rPr>
            </w:pPr>
            <w:r w:rsidRPr="008D1A17">
              <w:rPr>
                <w:rFonts w:eastAsia="Arial" w:cs="Arial"/>
                <w:color w:val="000000"/>
                <w:sz w:val="16"/>
                <w:szCs w:val="16"/>
                <w:lang w:eastAsia="zh-CN"/>
              </w:rPr>
              <w:t>Can be influenced by modification of leading indicators e.g. workplace accommodation</w:t>
            </w:r>
          </w:p>
          <w:p w14:paraId="02F8F540" w14:textId="77777777" w:rsidR="008D1A17" w:rsidRPr="008D1A17" w:rsidRDefault="008D1A17" w:rsidP="008D1A17">
            <w:pPr>
              <w:numPr>
                <w:ilvl w:val="0"/>
                <w:numId w:val="10"/>
              </w:numPr>
              <w:tabs>
                <w:tab w:val="left" w:pos="6691"/>
              </w:tabs>
              <w:spacing w:before="120" w:line="240" w:lineRule="auto"/>
              <w:ind w:left="319" w:hanging="284"/>
              <w:contextualSpacing/>
              <w:cnfStyle w:val="000000100000" w:firstRow="0" w:lastRow="0" w:firstColumn="0" w:lastColumn="0" w:oddVBand="0" w:evenVBand="0" w:oddHBand="1" w:evenHBand="0" w:firstRowFirstColumn="0" w:firstRowLastColumn="0" w:lastRowFirstColumn="0" w:lastRowLastColumn="0"/>
              <w:rPr>
                <w:rFonts w:eastAsia="Arial" w:cs="Arial"/>
                <w:color w:val="000000"/>
                <w:sz w:val="16"/>
                <w:szCs w:val="16"/>
                <w:lang w:eastAsia="zh-CN"/>
              </w:rPr>
            </w:pPr>
            <w:r w:rsidRPr="008D1A17">
              <w:rPr>
                <w:rFonts w:eastAsia="Arial" w:cs="Arial"/>
                <w:color w:val="000000"/>
                <w:sz w:val="16"/>
                <w:szCs w:val="16"/>
                <w:lang w:eastAsia="zh-CN"/>
              </w:rPr>
              <w:t xml:space="preserve">Historical trend data available </w:t>
            </w:r>
          </w:p>
        </w:tc>
        <w:tc>
          <w:tcPr>
            <w:tcW w:w="1205" w:type="dxa"/>
            <w:shd w:val="clear" w:color="auto" w:fill="FFFFFF" w:themeFill="background1"/>
            <w:vAlign w:val="center"/>
          </w:tcPr>
          <w:p w14:paraId="23E5419D" w14:textId="77777777" w:rsidR="008D1A17" w:rsidRPr="008D1A17" w:rsidRDefault="008D1A17" w:rsidP="00BA6315">
            <w:pPr>
              <w:tabs>
                <w:tab w:val="left" w:pos="6691"/>
              </w:tabs>
              <w:cnfStyle w:val="000000100000" w:firstRow="0" w:lastRow="0" w:firstColumn="0" w:lastColumn="0" w:oddVBand="0" w:evenVBand="0" w:oddHBand="1" w:evenHBand="0" w:firstRowFirstColumn="0" w:firstRowLastColumn="0" w:lastRowFirstColumn="0" w:lastRowLastColumn="0"/>
              <w:rPr>
                <w:rFonts w:cs="Arial"/>
                <w:bCs/>
                <w:sz w:val="16"/>
                <w:szCs w:val="16"/>
              </w:rPr>
            </w:pPr>
            <w:r w:rsidRPr="008D1A17">
              <w:rPr>
                <w:rFonts w:cs="Arial"/>
                <w:bCs/>
                <w:sz w:val="16"/>
                <w:szCs w:val="16"/>
              </w:rPr>
              <w:t>Increase</w:t>
            </w:r>
          </w:p>
        </w:tc>
        <w:tc>
          <w:tcPr>
            <w:tcW w:w="1205" w:type="dxa"/>
            <w:shd w:val="clear" w:color="auto" w:fill="FFFFFF" w:themeFill="background1"/>
            <w:vAlign w:val="center"/>
          </w:tcPr>
          <w:p w14:paraId="2D12E1B4" w14:textId="77777777" w:rsidR="008D1A17" w:rsidRPr="008D1A17" w:rsidRDefault="008D1A17" w:rsidP="00BA6315">
            <w:pPr>
              <w:tabs>
                <w:tab w:val="left" w:pos="6691"/>
              </w:tabs>
              <w:cnfStyle w:val="000000100000" w:firstRow="0" w:lastRow="0" w:firstColumn="0" w:lastColumn="0" w:oddVBand="0" w:evenVBand="0" w:oddHBand="1" w:evenHBand="0" w:firstRowFirstColumn="0" w:firstRowLastColumn="0" w:lastRowFirstColumn="0" w:lastRowLastColumn="0"/>
              <w:rPr>
                <w:rFonts w:cs="Arial"/>
                <w:bCs/>
                <w:sz w:val="16"/>
                <w:szCs w:val="16"/>
              </w:rPr>
            </w:pPr>
            <w:r w:rsidRPr="008D1A17">
              <w:rPr>
                <w:rFonts w:cs="Arial"/>
                <w:bCs/>
                <w:sz w:val="16"/>
                <w:szCs w:val="16"/>
              </w:rPr>
              <w:t xml:space="preserve">Moderate </w:t>
            </w:r>
          </w:p>
        </w:tc>
      </w:tr>
    </w:tbl>
    <w:p w14:paraId="15533329" w14:textId="77777777" w:rsidR="000F51C9" w:rsidRPr="000F51C9" w:rsidRDefault="000F51C9" w:rsidP="00540C05">
      <w:pPr>
        <w:spacing w:after="0" w:line="240" w:lineRule="auto"/>
        <w:ind w:left="-567"/>
        <w:rPr>
          <w:rFonts w:eastAsia="Calibri" w:cs="Arial"/>
          <w:bCs/>
          <w:sz w:val="16"/>
          <w:szCs w:val="18"/>
        </w:rPr>
      </w:pPr>
      <w:r>
        <w:rPr>
          <w:rFonts w:eastAsia="Calibri" w:cs="Arial"/>
          <w:bCs/>
          <w:sz w:val="16"/>
          <w:szCs w:val="18"/>
        </w:rPr>
        <w:br/>
      </w:r>
      <w:r w:rsidR="008D1A17" w:rsidRPr="000F51C9">
        <w:rPr>
          <w:rFonts w:eastAsia="Calibri" w:cs="Arial"/>
          <w:b/>
          <w:bCs/>
          <w:sz w:val="16"/>
          <w:szCs w:val="18"/>
        </w:rPr>
        <w:t>Footnote</w:t>
      </w:r>
      <w:r w:rsidR="008D1A17" w:rsidRPr="008D1A17">
        <w:rPr>
          <w:rFonts w:eastAsia="Calibri" w:cs="Arial"/>
          <w:bCs/>
          <w:sz w:val="16"/>
          <w:szCs w:val="18"/>
        </w:rPr>
        <w:t xml:space="preserve">: </w:t>
      </w:r>
      <w:r w:rsidRPr="000F51C9">
        <w:rPr>
          <w:rFonts w:eastAsia="Calibri" w:cs="Arial"/>
          <w:bCs/>
          <w:sz w:val="16"/>
          <w:szCs w:val="18"/>
        </w:rPr>
        <w:t>At the time of publishing, there is an absence of reliable national data for some listed measures. Future data development may result in the inclusion of alternative measures and/or metrics in the framework as noted below:</w:t>
      </w:r>
    </w:p>
    <w:p w14:paraId="75428E14" w14:textId="77777777" w:rsidR="008D1A17" w:rsidRPr="008D1A17" w:rsidRDefault="008D1A17" w:rsidP="00540C05">
      <w:pPr>
        <w:spacing w:after="0" w:line="240" w:lineRule="auto"/>
        <w:ind w:left="-567"/>
        <w:rPr>
          <w:rFonts w:cs="Arial"/>
          <w:sz w:val="16"/>
          <w:szCs w:val="16"/>
        </w:rPr>
      </w:pPr>
      <w:r w:rsidRPr="008D1A17">
        <w:rPr>
          <w:rFonts w:cs="Arial"/>
          <w:sz w:val="16"/>
          <w:szCs w:val="16"/>
        </w:rPr>
        <w:lastRenderedPageBreak/>
        <w:t xml:space="preserve">* These measures reflect the Strategy’s vision and combined provide a general indication of ‘good work’ in Strategic Outcome 1. </w:t>
      </w:r>
    </w:p>
    <w:p w14:paraId="15517ED8" w14:textId="77777777" w:rsidR="008D1A17" w:rsidRPr="00540C05" w:rsidRDefault="000F51C9" w:rsidP="00540C05">
      <w:pPr>
        <w:ind w:left="-567"/>
        <w:rPr>
          <w:rFonts w:cs="Arial"/>
          <w:sz w:val="16"/>
          <w:szCs w:val="16"/>
        </w:rPr>
      </w:pPr>
      <w:r w:rsidRPr="000F51C9">
        <w:rPr>
          <w:rFonts w:cs="Arial"/>
          <w:b/>
          <w:sz w:val="16"/>
          <w:szCs w:val="16"/>
        </w:rPr>
        <w:t>**</w:t>
      </w:r>
      <w:r w:rsidRPr="000F51C9">
        <w:rPr>
          <w:rFonts w:cs="Arial"/>
          <w:sz w:val="16"/>
          <w:szCs w:val="16"/>
        </w:rPr>
        <w:t xml:space="preserve"> ‘Stay at work’ data is not routinely and consistentl</w:t>
      </w:r>
      <w:r w:rsidR="00540C05">
        <w:rPr>
          <w:rFonts w:cs="Arial"/>
          <w:sz w:val="16"/>
          <w:szCs w:val="16"/>
        </w:rPr>
        <w:t>y collected at this time.</w:t>
      </w:r>
    </w:p>
    <w:p w14:paraId="13B674FC" w14:textId="77777777" w:rsidR="00B67E71" w:rsidRPr="00D553DC" w:rsidRDefault="00B67E71" w:rsidP="00BA6315">
      <w:pPr>
        <w:pStyle w:val="Heading3"/>
        <w:ind w:left="-567"/>
        <w:rPr>
          <w:sz w:val="22"/>
        </w:rPr>
      </w:pPr>
      <w:r w:rsidRPr="00D553DC">
        <w:rPr>
          <w:sz w:val="22"/>
        </w:rPr>
        <w:t>Table 4. National p</w:t>
      </w:r>
      <w:r w:rsidRPr="00D553DC">
        <w:rPr>
          <w:rFonts w:eastAsia="Calibri"/>
          <w:sz w:val="22"/>
        </w:rPr>
        <w:t xml:space="preserve">erformance </w:t>
      </w:r>
      <w:r w:rsidR="007538D0" w:rsidRPr="00D553DC">
        <w:rPr>
          <w:rFonts w:eastAsia="Calibri"/>
          <w:sz w:val="22"/>
        </w:rPr>
        <w:t xml:space="preserve">measures and </w:t>
      </w:r>
      <w:r w:rsidRPr="00D553DC">
        <w:rPr>
          <w:rFonts w:eastAsia="Calibri"/>
          <w:sz w:val="22"/>
        </w:rPr>
        <w:t>objectives: leading indicators</w:t>
      </w:r>
      <w:r w:rsidR="00A30E71" w:rsidRPr="00D553DC">
        <w:rPr>
          <w:sz w:val="22"/>
        </w:rPr>
        <w:t xml:space="preserve"> </w:t>
      </w:r>
      <w:r w:rsidR="00A30E71" w:rsidRPr="00D553DC">
        <w:rPr>
          <w:rFonts w:eastAsia="Calibri"/>
          <w:sz w:val="22"/>
        </w:rPr>
        <w:t xml:space="preserve">(factors </w:t>
      </w:r>
      <w:r w:rsidR="00060F19" w:rsidRPr="00D553DC">
        <w:rPr>
          <w:rFonts w:eastAsia="Calibri"/>
          <w:sz w:val="22"/>
        </w:rPr>
        <w:t>influencing</w:t>
      </w:r>
      <w:r w:rsidR="00A30E71" w:rsidRPr="00D553DC">
        <w:rPr>
          <w:rFonts w:eastAsia="Calibri"/>
          <w:sz w:val="22"/>
        </w:rPr>
        <w:t xml:space="preserve"> recovery and return to work outcomes)</w:t>
      </w:r>
    </w:p>
    <w:tbl>
      <w:tblPr>
        <w:tblStyle w:val="GridTable4-Accent11"/>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93"/>
        <w:gridCol w:w="992"/>
        <w:gridCol w:w="2835"/>
        <w:gridCol w:w="6520"/>
        <w:gridCol w:w="993"/>
        <w:gridCol w:w="992"/>
      </w:tblGrid>
      <w:tr w:rsidR="005A6F2F" w:rsidRPr="00B67E71" w14:paraId="78834DAC" w14:textId="77777777" w:rsidTr="00D553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tcBorders>
              <w:bottom w:val="nil"/>
              <w:right w:val="single" w:sz="4" w:space="0" w:color="auto"/>
            </w:tcBorders>
            <w:shd w:val="clear" w:color="auto" w:fill="3D7881"/>
            <w:vAlign w:val="center"/>
          </w:tcPr>
          <w:p w14:paraId="59B2B399" w14:textId="77777777" w:rsidR="00B67E71" w:rsidRPr="00B67E71" w:rsidRDefault="00B67E71" w:rsidP="00B67E71">
            <w:pPr>
              <w:tabs>
                <w:tab w:val="left" w:pos="6691"/>
              </w:tabs>
              <w:rPr>
                <w:rFonts w:eastAsia="Calibri" w:cs="Arial"/>
                <w:sz w:val="18"/>
                <w:szCs w:val="16"/>
              </w:rPr>
            </w:pPr>
          </w:p>
          <w:p w14:paraId="37A0DC6F" w14:textId="77777777" w:rsidR="00B67E71" w:rsidRPr="00B67E71" w:rsidRDefault="00B67E71" w:rsidP="00B67E71">
            <w:pPr>
              <w:tabs>
                <w:tab w:val="left" w:pos="6691"/>
              </w:tabs>
              <w:rPr>
                <w:rFonts w:eastAsia="Calibri" w:cs="Arial"/>
                <w:sz w:val="18"/>
                <w:szCs w:val="16"/>
              </w:rPr>
            </w:pPr>
          </w:p>
        </w:tc>
        <w:tc>
          <w:tcPr>
            <w:tcW w:w="993" w:type="dxa"/>
            <w:tcBorders>
              <w:left w:val="single" w:sz="4" w:space="0" w:color="auto"/>
              <w:bottom w:val="nil"/>
              <w:right w:val="single" w:sz="4" w:space="0" w:color="auto"/>
            </w:tcBorders>
            <w:shd w:val="clear" w:color="auto" w:fill="3D7881"/>
            <w:vAlign w:val="center"/>
          </w:tcPr>
          <w:p w14:paraId="31355EB9" w14:textId="77777777" w:rsidR="00B67E71" w:rsidRPr="00B67E71" w:rsidRDefault="00B67E71" w:rsidP="00B67E71">
            <w:pPr>
              <w:tabs>
                <w:tab w:val="left" w:pos="6691"/>
              </w:tabs>
              <w:cnfStyle w:val="100000000000" w:firstRow="1" w:lastRow="0" w:firstColumn="0" w:lastColumn="0" w:oddVBand="0" w:evenVBand="0" w:oddHBand="0" w:evenHBand="0" w:firstRowFirstColumn="0" w:firstRowLastColumn="0" w:lastRowFirstColumn="0" w:lastRowLastColumn="0"/>
              <w:rPr>
                <w:rFonts w:eastAsia="Calibri" w:cs="Arial"/>
                <w:sz w:val="18"/>
                <w:szCs w:val="16"/>
              </w:rPr>
            </w:pPr>
          </w:p>
        </w:tc>
        <w:tc>
          <w:tcPr>
            <w:tcW w:w="992" w:type="dxa"/>
            <w:tcBorders>
              <w:left w:val="single" w:sz="4" w:space="0" w:color="auto"/>
              <w:bottom w:val="nil"/>
              <w:right w:val="single" w:sz="4" w:space="0" w:color="auto"/>
            </w:tcBorders>
            <w:shd w:val="clear" w:color="auto" w:fill="3D7881"/>
          </w:tcPr>
          <w:p w14:paraId="677FB539" w14:textId="77777777" w:rsidR="00B67E71" w:rsidRPr="00B67E71" w:rsidRDefault="00B67E71" w:rsidP="00B67E71">
            <w:pPr>
              <w:tabs>
                <w:tab w:val="left" w:pos="6691"/>
              </w:tabs>
              <w:cnfStyle w:val="100000000000" w:firstRow="1" w:lastRow="0" w:firstColumn="0" w:lastColumn="0" w:oddVBand="0" w:evenVBand="0" w:oddHBand="0" w:evenHBand="0" w:firstRowFirstColumn="0" w:firstRowLastColumn="0" w:lastRowFirstColumn="0" w:lastRowLastColumn="0"/>
              <w:rPr>
                <w:rFonts w:eastAsia="Calibri" w:cs="Arial"/>
                <w:sz w:val="18"/>
                <w:szCs w:val="16"/>
              </w:rPr>
            </w:pPr>
          </w:p>
        </w:tc>
        <w:tc>
          <w:tcPr>
            <w:tcW w:w="2835" w:type="dxa"/>
            <w:tcBorders>
              <w:left w:val="single" w:sz="4" w:space="0" w:color="auto"/>
              <w:bottom w:val="nil"/>
              <w:right w:val="single" w:sz="4" w:space="0" w:color="auto"/>
            </w:tcBorders>
            <w:shd w:val="clear" w:color="auto" w:fill="3D7881"/>
            <w:vAlign w:val="center"/>
          </w:tcPr>
          <w:p w14:paraId="295839A1" w14:textId="77777777" w:rsidR="00B67E71" w:rsidRPr="00B67E71" w:rsidRDefault="00B67E71" w:rsidP="00B67E71">
            <w:pPr>
              <w:tabs>
                <w:tab w:val="left" w:pos="6691"/>
              </w:tabs>
              <w:cnfStyle w:val="100000000000" w:firstRow="1" w:lastRow="0" w:firstColumn="0" w:lastColumn="0" w:oddVBand="0" w:evenVBand="0" w:oddHBand="0" w:evenHBand="0" w:firstRowFirstColumn="0" w:firstRowLastColumn="0" w:lastRowFirstColumn="0" w:lastRowLastColumn="0"/>
              <w:rPr>
                <w:rFonts w:eastAsia="Calibri" w:cs="Arial"/>
                <w:sz w:val="18"/>
                <w:szCs w:val="16"/>
              </w:rPr>
            </w:pPr>
          </w:p>
        </w:tc>
        <w:tc>
          <w:tcPr>
            <w:tcW w:w="6520" w:type="dxa"/>
            <w:tcBorders>
              <w:left w:val="single" w:sz="4" w:space="0" w:color="auto"/>
              <w:bottom w:val="nil"/>
              <w:right w:val="single" w:sz="4" w:space="0" w:color="auto"/>
            </w:tcBorders>
            <w:shd w:val="clear" w:color="auto" w:fill="3D7881"/>
            <w:vAlign w:val="center"/>
          </w:tcPr>
          <w:p w14:paraId="38A79ADF" w14:textId="77777777" w:rsidR="00B67E71" w:rsidRPr="00B67E71" w:rsidRDefault="00B67E71" w:rsidP="00B67E71">
            <w:pPr>
              <w:tabs>
                <w:tab w:val="left" w:pos="1321"/>
                <w:tab w:val="left" w:pos="6691"/>
              </w:tabs>
              <w:cnfStyle w:val="100000000000" w:firstRow="1" w:lastRow="0" w:firstColumn="0" w:lastColumn="0" w:oddVBand="0" w:evenVBand="0" w:oddHBand="0" w:evenHBand="0" w:firstRowFirstColumn="0" w:firstRowLastColumn="0" w:lastRowFirstColumn="0" w:lastRowLastColumn="0"/>
              <w:rPr>
                <w:rFonts w:eastAsia="Calibri" w:cs="Arial"/>
                <w:sz w:val="18"/>
                <w:szCs w:val="16"/>
              </w:rPr>
            </w:pPr>
          </w:p>
        </w:tc>
        <w:tc>
          <w:tcPr>
            <w:tcW w:w="1985" w:type="dxa"/>
            <w:gridSpan w:val="2"/>
            <w:tcBorders>
              <w:left w:val="single" w:sz="4" w:space="0" w:color="auto"/>
            </w:tcBorders>
            <w:shd w:val="clear" w:color="auto" w:fill="3D7881"/>
            <w:vAlign w:val="center"/>
          </w:tcPr>
          <w:p w14:paraId="10ED3E7F" w14:textId="77777777" w:rsidR="00B67E71" w:rsidRPr="00B67E71" w:rsidRDefault="00B67E71" w:rsidP="00B67E71">
            <w:pPr>
              <w:tabs>
                <w:tab w:val="left" w:pos="1321"/>
                <w:tab w:val="left" w:pos="6691"/>
              </w:tabs>
              <w:jc w:val="center"/>
              <w:cnfStyle w:val="100000000000" w:firstRow="1" w:lastRow="0" w:firstColumn="0" w:lastColumn="0" w:oddVBand="0" w:evenVBand="0" w:oddHBand="0" w:evenHBand="0" w:firstRowFirstColumn="0" w:firstRowLastColumn="0" w:lastRowFirstColumn="0" w:lastRowLastColumn="0"/>
              <w:rPr>
                <w:rFonts w:eastAsia="Calibri" w:cs="Arial"/>
                <w:sz w:val="18"/>
                <w:szCs w:val="16"/>
              </w:rPr>
            </w:pPr>
            <w:r w:rsidRPr="00D553DC">
              <w:rPr>
                <w:rFonts w:eastAsia="Calibri" w:cs="Arial"/>
                <w:sz w:val="16"/>
                <w:szCs w:val="16"/>
              </w:rPr>
              <w:t>Performance objective</w:t>
            </w:r>
          </w:p>
        </w:tc>
      </w:tr>
      <w:tr w:rsidR="00B67E71" w:rsidRPr="00B67E71" w14:paraId="1809C5C5" w14:textId="77777777" w:rsidTr="00D553DC">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1701" w:type="dxa"/>
            <w:tcBorders>
              <w:top w:val="nil"/>
            </w:tcBorders>
            <w:shd w:val="clear" w:color="auto" w:fill="3D7881"/>
            <w:vAlign w:val="center"/>
          </w:tcPr>
          <w:p w14:paraId="6047C0E2" w14:textId="77777777" w:rsidR="00B67E71" w:rsidRPr="00B67E71" w:rsidRDefault="00B67E71" w:rsidP="00B67E71">
            <w:pPr>
              <w:tabs>
                <w:tab w:val="left" w:pos="6691"/>
              </w:tabs>
              <w:rPr>
                <w:rFonts w:eastAsia="Calibri" w:cs="Arial"/>
                <w:color w:val="FFFFFF"/>
                <w:sz w:val="18"/>
                <w:szCs w:val="16"/>
              </w:rPr>
            </w:pPr>
            <w:r w:rsidRPr="00B67E71">
              <w:rPr>
                <w:rFonts w:eastAsia="Calibri" w:cs="Arial"/>
                <w:color w:val="FFFFFF"/>
                <w:sz w:val="18"/>
                <w:szCs w:val="16"/>
              </w:rPr>
              <w:t>Measure</w:t>
            </w:r>
          </w:p>
        </w:tc>
        <w:tc>
          <w:tcPr>
            <w:tcW w:w="993" w:type="dxa"/>
            <w:tcBorders>
              <w:top w:val="nil"/>
            </w:tcBorders>
            <w:shd w:val="clear" w:color="auto" w:fill="3D7881"/>
            <w:vAlign w:val="center"/>
          </w:tcPr>
          <w:p w14:paraId="3BBF929E" w14:textId="77777777" w:rsidR="00B67E71" w:rsidRPr="00B67E71" w:rsidRDefault="00C86D4C" w:rsidP="00B67E71">
            <w:pPr>
              <w:tabs>
                <w:tab w:val="left" w:pos="6691"/>
              </w:tabs>
              <w:cnfStyle w:val="000000100000" w:firstRow="0" w:lastRow="0" w:firstColumn="0" w:lastColumn="0" w:oddVBand="0" w:evenVBand="0" w:oddHBand="1" w:evenHBand="0" w:firstRowFirstColumn="0" w:firstRowLastColumn="0" w:lastRowFirstColumn="0" w:lastRowLastColumn="0"/>
              <w:rPr>
                <w:rFonts w:eastAsia="Calibri" w:cs="Arial"/>
                <w:b/>
                <w:color w:val="FFFFFF"/>
                <w:sz w:val="18"/>
                <w:szCs w:val="16"/>
              </w:rPr>
            </w:pPr>
            <w:r>
              <w:rPr>
                <w:rFonts w:eastAsia="Calibri" w:cs="Arial"/>
                <w:b/>
                <w:color w:val="FFFFFF"/>
                <w:sz w:val="18"/>
                <w:szCs w:val="16"/>
              </w:rPr>
              <w:t>Data s</w:t>
            </w:r>
            <w:r w:rsidR="00B67E71" w:rsidRPr="00B67E71">
              <w:rPr>
                <w:rFonts w:eastAsia="Calibri" w:cs="Arial"/>
                <w:b/>
                <w:color w:val="FFFFFF"/>
                <w:sz w:val="18"/>
                <w:szCs w:val="16"/>
              </w:rPr>
              <w:t>ource</w:t>
            </w:r>
          </w:p>
        </w:tc>
        <w:tc>
          <w:tcPr>
            <w:tcW w:w="992" w:type="dxa"/>
            <w:tcBorders>
              <w:top w:val="nil"/>
            </w:tcBorders>
            <w:shd w:val="clear" w:color="auto" w:fill="3D7881"/>
            <w:vAlign w:val="center"/>
          </w:tcPr>
          <w:p w14:paraId="3F687C2F" w14:textId="77777777" w:rsidR="00B67E71" w:rsidRPr="00B67E71" w:rsidRDefault="00B67E71" w:rsidP="00B67E71">
            <w:pPr>
              <w:tabs>
                <w:tab w:val="left" w:pos="6691"/>
              </w:tabs>
              <w:cnfStyle w:val="000000100000" w:firstRow="0" w:lastRow="0" w:firstColumn="0" w:lastColumn="0" w:oddVBand="0" w:evenVBand="0" w:oddHBand="1" w:evenHBand="0" w:firstRowFirstColumn="0" w:firstRowLastColumn="0" w:lastRowFirstColumn="0" w:lastRowLastColumn="0"/>
              <w:rPr>
                <w:rFonts w:eastAsia="Calibri" w:cs="Arial"/>
                <w:b/>
                <w:color w:val="FFFFFF"/>
                <w:sz w:val="18"/>
                <w:szCs w:val="16"/>
              </w:rPr>
            </w:pPr>
            <w:r w:rsidRPr="00B67E71">
              <w:rPr>
                <w:rFonts w:eastAsia="Calibri" w:cs="Arial"/>
                <w:b/>
                <w:color w:val="FFFFFF"/>
                <w:sz w:val="18"/>
                <w:szCs w:val="16"/>
              </w:rPr>
              <w:t>Domain</w:t>
            </w:r>
          </w:p>
        </w:tc>
        <w:tc>
          <w:tcPr>
            <w:tcW w:w="2835" w:type="dxa"/>
            <w:tcBorders>
              <w:top w:val="nil"/>
              <w:bottom w:val="single" w:sz="4" w:space="0" w:color="auto"/>
            </w:tcBorders>
            <w:shd w:val="clear" w:color="auto" w:fill="3D7881"/>
            <w:vAlign w:val="center"/>
          </w:tcPr>
          <w:p w14:paraId="46515B28" w14:textId="77777777" w:rsidR="00B67E71" w:rsidRDefault="00B67E71" w:rsidP="00B67E71">
            <w:pPr>
              <w:tabs>
                <w:tab w:val="left" w:pos="6691"/>
              </w:tabs>
              <w:cnfStyle w:val="000000100000" w:firstRow="0" w:lastRow="0" w:firstColumn="0" w:lastColumn="0" w:oddVBand="0" w:evenVBand="0" w:oddHBand="1" w:evenHBand="0" w:firstRowFirstColumn="0" w:firstRowLastColumn="0" w:lastRowFirstColumn="0" w:lastRowLastColumn="0"/>
              <w:rPr>
                <w:rFonts w:eastAsia="Calibri" w:cs="Arial"/>
                <w:b/>
                <w:color w:val="FFFFFF"/>
                <w:sz w:val="18"/>
                <w:szCs w:val="16"/>
              </w:rPr>
            </w:pPr>
            <w:r w:rsidRPr="00B67E71">
              <w:rPr>
                <w:rFonts w:eastAsia="Calibri" w:cs="Arial"/>
                <w:b/>
                <w:color w:val="FFFFFF"/>
                <w:sz w:val="18"/>
                <w:szCs w:val="16"/>
              </w:rPr>
              <w:t>Metric</w:t>
            </w:r>
          </w:p>
          <w:p w14:paraId="2670E72D" w14:textId="3A22E7E5" w:rsidR="00025331" w:rsidRPr="00B67E71" w:rsidRDefault="00025331" w:rsidP="00B67E71">
            <w:pPr>
              <w:tabs>
                <w:tab w:val="left" w:pos="6691"/>
              </w:tabs>
              <w:cnfStyle w:val="000000100000" w:firstRow="0" w:lastRow="0" w:firstColumn="0" w:lastColumn="0" w:oddVBand="0" w:evenVBand="0" w:oddHBand="1" w:evenHBand="0" w:firstRowFirstColumn="0" w:firstRowLastColumn="0" w:lastRowFirstColumn="0" w:lastRowLastColumn="0"/>
              <w:rPr>
                <w:rFonts w:eastAsia="Calibri" w:cs="Arial"/>
                <w:b/>
                <w:color w:val="FFFFFF"/>
                <w:sz w:val="18"/>
                <w:szCs w:val="16"/>
              </w:rPr>
            </w:pPr>
            <w:r w:rsidRPr="006C3047">
              <w:rPr>
                <w:rFonts w:eastAsia="Calibri" w:cs="Arial"/>
                <w:b/>
                <w:bCs/>
                <w:color w:val="FFFFFF" w:themeColor="background1"/>
                <w:sz w:val="12"/>
                <w:szCs w:val="12"/>
              </w:rPr>
              <w:t>(data item selected to identify and indicate change against corresponding measure)</w:t>
            </w:r>
          </w:p>
        </w:tc>
        <w:tc>
          <w:tcPr>
            <w:tcW w:w="6520" w:type="dxa"/>
            <w:tcBorders>
              <w:top w:val="nil"/>
            </w:tcBorders>
            <w:shd w:val="clear" w:color="auto" w:fill="3D7881"/>
            <w:vAlign w:val="center"/>
          </w:tcPr>
          <w:p w14:paraId="5461637E" w14:textId="77777777" w:rsidR="00B67E71" w:rsidRPr="00B67E71" w:rsidRDefault="00B67E71" w:rsidP="00B67E71">
            <w:pPr>
              <w:tabs>
                <w:tab w:val="left" w:pos="6691"/>
              </w:tabs>
              <w:cnfStyle w:val="000000100000" w:firstRow="0" w:lastRow="0" w:firstColumn="0" w:lastColumn="0" w:oddVBand="0" w:evenVBand="0" w:oddHBand="1" w:evenHBand="0" w:firstRowFirstColumn="0" w:firstRowLastColumn="0" w:lastRowFirstColumn="0" w:lastRowLastColumn="0"/>
              <w:rPr>
                <w:rFonts w:eastAsia="Calibri" w:cs="Arial"/>
                <w:b/>
                <w:color w:val="FFFFFF"/>
                <w:sz w:val="18"/>
                <w:szCs w:val="16"/>
              </w:rPr>
            </w:pPr>
            <w:r w:rsidRPr="00B67E71">
              <w:rPr>
                <w:rFonts w:eastAsia="Calibri" w:cs="Arial"/>
                <w:b/>
                <w:color w:val="FFFFFF"/>
                <w:sz w:val="18"/>
                <w:szCs w:val="16"/>
              </w:rPr>
              <w:t>Rationale</w:t>
            </w:r>
          </w:p>
        </w:tc>
        <w:tc>
          <w:tcPr>
            <w:tcW w:w="993" w:type="dxa"/>
            <w:shd w:val="clear" w:color="auto" w:fill="3D7881"/>
            <w:vAlign w:val="center"/>
          </w:tcPr>
          <w:p w14:paraId="3732B0D1" w14:textId="77777777" w:rsidR="00B67E71" w:rsidRPr="00B67E71" w:rsidRDefault="00B67E71" w:rsidP="00B67E71">
            <w:pPr>
              <w:tabs>
                <w:tab w:val="left" w:pos="6691"/>
              </w:tabs>
              <w:cnfStyle w:val="000000100000" w:firstRow="0" w:lastRow="0" w:firstColumn="0" w:lastColumn="0" w:oddVBand="0" w:evenVBand="0" w:oddHBand="1" w:evenHBand="0" w:firstRowFirstColumn="0" w:firstRowLastColumn="0" w:lastRowFirstColumn="0" w:lastRowLastColumn="0"/>
              <w:rPr>
                <w:rFonts w:eastAsia="Calibri" w:cs="Arial"/>
                <w:b/>
                <w:bCs/>
                <w:color w:val="FFFFFF"/>
                <w:sz w:val="16"/>
                <w:szCs w:val="16"/>
              </w:rPr>
            </w:pPr>
            <w:r w:rsidRPr="00B67E71">
              <w:rPr>
                <w:rFonts w:eastAsia="Calibri" w:cs="Arial"/>
                <w:b/>
                <w:bCs/>
                <w:color w:val="FFFFFF"/>
                <w:sz w:val="16"/>
                <w:szCs w:val="16"/>
              </w:rPr>
              <w:t>Direction of change</w:t>
            </w:r>
          </w:p>
        </w:tc>
        <w:tc>
          <w:tcPr>
            <w:tcW w:w="992" w:type="dxa"/>
            <w:shd w:val="clear" w:color="auto" w:fill="3D7881"/>
            <w:vAlign w:val="center"/>
          </w:tcPr>
          <w:p w14:paraId="2EB605D0" w14:textId="77777777" w:rsidR="00B67E71" w:rsidRPr="00B67E71" w:rsidRDefault="00B67E71" w:rsidP="00B67E71">
            <w:pPr>
              <w:tabs>
                <w:tab w:val="left" w:pos="6691"/>
              </w:tabs>
              <w:cnfStyle w:val="000000100000" w:firstRow="0" w:lastRow="0" w:firstColumn="0" w:lastColumn="0" w:oddVBand="0" w:evenVBand="0" w:oddHBand="1" w:evenHBand="0" w:firstRowFirstColumn="0" w:firstRowLastColumn="0" w:lastRowFirstColumn="0" w:lastRowLastColumn="0"/>
              <w:rPr>
                <w:rFonts w:eastAsia="Calibri" w:cs="Arial"/>
                <w:b/>
                <w:bCs/>
                <w:color w:val="FFFFFF"/>
                <w:sz w:val="16"/>
                <w:szCs w:val="16"/>
              </w:rPr>
            </w:pPr>
            <w:r w:rsidRPr="00B67E71">
              <w:rPr>
                <w:rFonts w:eastAsia="Calibri" w:cs="Arial"/>
                <w:b/>
                <w:bCs/>
                <w:color w:val="FFFFFF"/>
                <w:sz w:val="16"/>
                <w:szCs w:val="16"/>
              </w:rPr>
              <w:t>Scope for change</w:t>
            </w:r>
          </w:p>
        </w:tc>
      </w:tr>
      <w:tr w:rsidR="00AF3330" w:rsidRPr="00B67E71" w14:paraId="0222E0AB" w14:textId="77777777" w:rsidTr="00D553DC">
        <w:tc>
          <w:tcPr>
            <w:cnfStyle w:val="001000000000" w:firstRow="0" w:lastRow="0" w:firstColumn="1" w:lastColumn="0" w:oddVBand="0" w:evenVBand="0" w:oddHBand="0" w:evenHBand="0" w:firstRowFirstColumn="0" w:firstRowLastColumn="0" w:lastRowFirstColumn="0" w:lastRowLastColumn="0"/>
            <w:tcW w:w="1701" w:type="dxa"/>
            <w:shd w:val="clear" w:color="auto" w:fill="FFFFFF" w:themeFill="background1"/>
            <w:vAlign w:val="center"/>
          </w:tcPr>
          <w:p w14:paraId="49F4DBCD" w14:textId="77777777" w:rsidR="00AF3330" w:rsidRPr="005A6F2F" w:rsidRDefault="00AF3330" w:rsidP="00AF3330">
            <w:pPr>
              <w:tabs>
                <w:tab w:val="left" w:pos="6691"/>
              </w:tabs>
              <w:rPr>
                <w:rFonts w:eastAsia="Calibri" w:cs="Arial"/>
                <w:sz w:val="16"/>
                <w:szCs w:val="16"/>
              </w:rPr>
            </w:pPr>
            <w:r w:rsidRPr="005A6F2F">
              <w:rPr>
                <w:rFonts w:eastAsia="Calibri" w:cs="Arial"/>
                <w:sz w:val="16"/>
                <w:szCs w:val="16"/>
              </w:rPr>
              <w:t>Insurer decision time</w:t>
            </w:r>
          </w:p>
        </w:tc>
        <w:tc>
          <w:tcPr>
            <w:tcW w:w="993" w:type="dxa"/>
            <w:shd w:val="clear" w:color="auto" w:fill="FFFFFF" w:themeFill="background1"/>
            <w:vAlign w:val="center"/>
          </w:tcPr>
          <w:p w14:paraId="51A11B04" w14:textId="77777777" w:rsidR="00AF3330" w:rsidRPr="00B67E71" w:rsidRDefault="00AF3330" w:rsidP="00AF3330">
            <w:pPr>
              <w:tabs>
                <w:tab w:val="left" w:pos="6691"/>
              </w:tabs>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B67E71">
              <w:rPr>
                <w:rFonts w:eastAsia="Calibri" w:cs="Arial"/>
                <w:sz w:val="16"/>
                <w:szCs w:val="16"/>
              </w:rPr>
              <w:t>NDS</w:t>
            </w:r>
          </w:p>
        </w:tc>
        <w:tc>
          <w:tcPr>
            <w:tcW w:w="992" w:type="dxa"/>
            <w:shd w:val="clear" w:color="auto" w:fill="FFFFFF" w:themeFill="background1"/>
            <w:vAlign w:val="center"/>
          </w:tcPr>
          <w:p w14:paraId="2C965699" w14:textId="77777777" w:rsidR="00AF3330" w:rsidRPr="00B67E71" w:rsidRDefault="00AF3330" w:rsidP="00AF3330">
            <w:pPr>
              <w:tabs>
                <w:tab w:val="left" w:pos="6691"/>
              </w:tabs>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B67E71">
              <w:rPr>
                <w:rFonts w:eastAsia="Calibri" w:cs="Arial"/>
                <w:sz w:val="16"/>
                <w:szCs w:val="16"/>
              </w:rPr>
              <w:t>Insurer</w:t>
            </w:r>
          </w:p>
        </w:tc>
        <w:tc>
          <w:tcPr>
            <w:tcW w:w="2835" w:type="dxa"/>
            <w:shd w:val="clear" w:color="auto" w:fill="FFFFFF" w:themeFill="background1"/>
            <w:vAlign w:val="center"/>
          </w:tcPr>
          <w:p w14:paraId="1E8505DF" w14:textId="77777777" w:rsidR="00AF3330" w:rsidRPr="00772F21" w:rsidRDefault="00AF3330" w:rsidP="00AF3330">
            <w:pPr>
              <w:suppressAutoHyphens/>
              <w:autoSpaceDE w:val="0"/>
              <w:autoSpaceDN w:val="0"/>
              <w:adjustRightInd w:val="0"/>
              <w:spacing w:line="240" w:lineRule="auto"/>
              <w:ind w:right="113"/>
              <w:textAlignment w:val="center"/>
              <w:cnfStyle w:val="000000000000" w:firstRow="0" w:lastRow="0" w:firstColumn="0" w:lastColumn="0" w:oddVBand="0" w:evenVBand="0" w:oddHBand="0" w:evenHBand="0" w:firstRowFirstColumn="0" w:firstRowLastColumn="0" w:lastRowFirstColumn="0" w:lastRowLastColumn="0"/>
              <w:rPr>
                <w:rFonts w:eastAsia="Calibri" w:cs="Arial"/>
                <w:bCs/>
                <w:sz w:val="16"/>
                <w:szCs w:val="16"/>
              </w:rPr>
            </w:pPr>
            <w:r w:rsidRPr="00772F21">
              <w:rPr>
                <w:rFonts w:eastAsia="Calibri" w:cs="Arial"/>
                <w:bCs/>
                <w:sz w:val="16"/>
                <w:szCs w:val="16"/>
              </w:rPr>
              <w:t xml:space="preserve">Mean time in days between claim receipt by insurer and insurer decision to accept claim </w:t>
            </w:r>
          </w:p>
        </w:tc>
        <w:tc>
          <w:tcPr>
            <w:tcW w:w="6520" w:type="dxa"/>
            <w:shd w:val="clear" w:color="auto" w:fill="FFFFFF" w:themeFill="background1"/>
            <w:vAlign w:val="center"/>
          </w:tcPr>
          <w:p w14:paraId="703F1121" w14:textId="77777777" w:rsidR="00AF3330" w:rsidRPr="00B67E71" w:rsidRDefault="00AF3330" w:rsidP="00AF3330">
            <w:pPr>
              <w:numPr>
                <w:ilvl w:val="0"/>
                <w:numId w:val="10"/>
              </w:numPr>
              <w:tabs>
                <w:tab w:val="left" w:pos="6691"/>
              </w:tabs>
              <w:spacing w:line="240" w:lineRule="auto"/>
              <w:ind w:left="316" w:hanging="284"/>
              <w:cnfStyle w:val="000000000000" w:firstRow="0" w:lastRow="0" w:firstColumn="0" w:lastColumn="0" w:oddVBand="0" w:evenVBand="0" w:oddHBand="0" w:evenHBand="0" w:firstRowFirstColumn="0" w:firstRowLastColumn="0" w:lastRowFirstColumn="0" w:lastRowLastColumn="0"/>
              <w:rPr>
                <w:rFonts w:cs="Arial"/>
                <w:sz w:val="16"/>
                <w:szCs w:val="16"/>
              </w:rPr>
            </w:pPr>
            <w:r w:rsidRPr="00B67E71">
              <w:rPr>
                <w:rFonts w:cs="Arial"/>
                <w:sz w:val="16"/>
                <w:szCs w:val="16"/>
              </w:rPr>
              <w:t xml:space="preserve">Strong evidence that insurer decision time is a leading indicator of </w:t>
            </w:r>
            <w:r>
              <w:rPr>
                <w:rFonts w:cs="Arial"/>
                <w:sz w:val="16"/>
                <w:szCs w:val="16"/>
              </w:rPr>
              <w:t>return to work</w:t>
            </w:r>
            <w:r w:rsidRPr="00B67E71">
              <w:rPr>
                <w:rFonts w:cs="Arial"/>
                <w:sz w:val="16"/>
                <w:szCs w:val="16"/>
              </w:rPr>
              <w:t>.</w:t>
            </w:r>
          </w:p>
          <w:p w14:paraId="3E810604" w14:textId="77777777" w:rsidR="00AF3330" w:rsidRPr="00B67E71" w:rsidRDefault="00AF3330" w:rsidP="00AF3330">
            <w:pPr>
              <w:numPr>
                <w:ilvl w:val="0"/>
                <w:numId w:val="10"/>
              </w:numPr>
              <w:tabs>
                <w:tab w:val="left" w:pos="6691"/>
              </w:tabs>
              <w:spacing w:line="240" w:lineRule="auto"/>
              <w:ind w:left="316" w:hanging="284"/>
              <w:cnfStyle w:val="000000000000" w:firstRow="0" w:lastRow="0" w:firstColumn="0" w:lastColumn="0" w:oddVBand="0" w:evenVBand="0" w:oddHBand="0" w:evenHBand="0" w:firstRowFirstColumn="0" w:firstRowLastColumn="0" w:lastRowFirstColumn="0" w:lastRowLastColumn="0"/>
              <w:rPr>
                <w:rFonts w:cs="Arial"/>
                <w:sz w:val="16"/>
                <w:szCs w:val="16"/>
              </w:rPr>
            </w:pPr>
            <w:r w:rsidRPr="00B67E71">
              <w:rPr>
                <w:rFonts w:cs="Arial"/>
                <w:sz w:val="16"/>
                <w:szCs w:val="16"/>
              </w:rPr>
              <w:t xml:space="preserve">Workers experience delays as negative and fast decisions as positive. </w:t>
            </w:r>
          </w:p>
          <w:p w14:paraId="76D097FF" w14:textId="77777777" w:rsidR="00AF3330" w:rsidRPr="00B67E71" w:rsidRDefault="00AF3330" w:rsidP="00AF3330">
            <w:pPr>
              <w:numPr>
                <w:ilvl w:val="0"/>
                <w:numId w:val="10"/>
              </w:numPr>
              <w:tabs>
                <w:tab w:val="left" w:pos="6691"/>
              </w:tabs>
              <w:spacing w:line="240" w:lineRule="auto"/>
              <w:ind w:left="316" w:hanging="284"/>
              <w:cnfStyle w:val="000000000000" w:firstRow="0" w:lastRow="0" w:firstColumn="0" w:lastColumn="0" w:oddVBand="0" w:evenVBand="0" w:oddHBand="0" w:evenHBand="0" w:firstRowFirstColumn="0" w:firstRowLastColumn="0" w:lastRowFirstColumn="0" w:lastRowLastColumn="0"/>
              <w:rPr>
                <w:rFonts w:cs="Arial"/>
                <w:sz w:val="16"/>
                <w:szCs w:val="16"/>
              </w:rPr>
            </w:pPr>
            <w:r w:rsidRPr="00B67E71">
              <w:rPr>
                <w:rFonts w:cs="Arial"/>
                <w:sz w:val="16"/>
                <w:szCs w:val="16"/>
              </w:rPr>
              <w:t>Historical trend data available.</w:t>
            </w:r>
          </w:p>
        </w:tc>
        <w:tc>
          <w:tcPr>
            <w:tcW w:w="993" w:type="dxa"/>
            <w:shd w:val="clear" w:color="auto" w:fill="FFFFFF" w:themeFill="background1"/>
            <w:vAlign w:val="center"/>
          </w:tcPr>
          <w:p w14:paraId="3B641BF4" w14:textId="77777777" w:rsidR="00AF3330" w:rsidRPr="00B67E71" w:rsidRDefault="00AF3330" w:rsidP="00BA6315">
            <w:pPr>
              <w:tabs>
                <w:tab w:val="left" w:pos="6691"/>
              </w:tabs>
              <w:spacing w:line="259" w:lineRule="auto"/>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B67E71">
              <w:rPr>
                <w:rFonts w:cs="Arial"/>
                <w:bCs/>
                <w:sz w:val="16"/>
                <w:szCs w:val="16"/>
              </w:rPr>
              <w:t>Decrease</w:t>
            </w:r>
          </w:p>
        </w:tc>
        <w:tc>
          <w:tcPr>
            <w:tcW w:w="992" w:type="dxa"/>
            <w:shd w:val="clear" w:color="auto" w:fill="FFFFFF" w:themeFill="background1"/>
            <w:vAlign w:val="center"/>
          </w:tcPr>
          <w:p w14:paraId="0A914579" w14:textId="77777777" w:rsidR="00AF3330" w:rsidRPr="00B67E71" w:rsidRDefault="00AF3330" w:rsidP="00BA6315">
            <w:pPr>
              <w:tabs>
                <w:tab w:val="left" w:pos="6691"/>
              </w:tabs>
              <w:spacing w:line="259" w:lineRule="auto"/>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B67E71">
              <w:rPr>
                <w:rFonts w:cs="Arial"/>
                <w:bCs/>
                <w:sz w:val="16"/>
                <w:szCs w:val="16"/>
              </w:rPr>
              <w:t>Moderate</w:t>
            </w:r>
          </w:p>
        </w:tc>
      </w:tr>
      <w:tr w:rsidR="00AF3330" w:rsidRPr="00B67E71" w14:paraId="41F1C549" w14:textId="77777777" w:rsidTr="00D5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FFFFFF" w:themeFill="background1"/>
            <w:vAlign w:val="center"/>
          </w:tcPr>
          <w:p w14:paraId="0F11ABF5" w14:textId="77777777" w:rsidR="00AF3330" w:rsidRPr="005A6F2F" w:rsidRDefault="00AF3330" w:rsidP="00AF3330">
            <w:pPr>
              <w:tabs>
                <w:tab w:val="left" w:pos="6691"/>
              </w:tabs>
              <w:rPr>
                <w:rFonts w:eastAsia="Calibri" w:cs="Arial"/>
                <w:sz w:val="16"/>
                <w:szCs w:val="16"/>
              </w:rPr>
            </w:pPr>
            <w:r w:rsidRPr="005A6F2F">
              <w:rPr>
                <w:rFonts w:eastAsia="Calibri" w:cs="Arial"/>
                <w:sz w:val="16"/>
                <w:szCs w:val="16"/>
              </w:rPr>
              <w:t>Perceived fairness</w:t>
            </w:r>
          </w:p>
        </w:tc>
        <w:tc>
          <w:tcPr>
            <w:tcW w:w="993" w:type="dxa"/>
            <w:shd w:val="clear" w:color="auto" w:fill="FFFFFF" w:themeFill="background1"/>
            <w:vAlign w:val="center"/>
          </w:tcPr>
          <w:p w14:paraId="33FE9373" w14:textId="77777777" w:rsidR="00AF3330" w:rsidRPr="00B67E71" w:rsidRDefault="00AF3330" w:rsidP="00AF3330">
            <w:pPr>
              <w:tabs>
                <w:tab w:val="left" w:pos="6691"/>
              </w:tabs>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r w:rsidRPr="00B67E71">
              <w:rPr>
                <w:rFonts w:eastAsia="Calibri" w:cs="Arial"/>
                <w:sz w:val="16"/>
                <w:szCs w:val="16"/>
              </w:rPr>
              <w:t>NRTWS</w:t>
            </w:r>
          </w:p>
        </w:tc>
        <w:tc>
          <w:tcPr>
            <w:tcW w:w="992" w:type="dxa"/>
            <w:shd w:val="clear" w:color="auto" w:fill="FFFFFF" w:themeFill="background1"/>
            <w:vAlign w:val="center"/>
          </w:tcPr>
          <w:p w14:paraId="486B6B28" w14:textId="77777777" w:rsidR="00AF3330" w:rsidRPr="00B67E71" w:rsidRDefault="00AF3330" w:rsidP="00AF3330">
            <w:pPr>
              <w:tabs>
                <w:tab w:val="left" w:pos="6691"/>
              </w:tabs>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r w:rsidRPr="00B67E71">
              <w:rPr>
                <w:rFonts w:eastAsia="Calibri" w:cs="Arial"/>
                <w:sz w:val="16"/>
                <w:szCs w:val="16"/>
              </w:rPr>
              <w:t>Insurer</w:t>
            </w:r>
          </w:p>
        </w:tc>
        <w:tc>
          <w:tcPr>
            <w:tcW w:w="2835" w:type="dxa"/>
            <w:shd w:val="clear" w:color="auto" w:fill="FFFFFF" w:themeFill="background1"/>
            <w:vAlign w:val="center"/>
          </w:tcPr>
          <w:p w14:paraId="5BFAC934" w14:textId="77777777" w:rsidR="00AF3330" w:rsidRPr="00772F21" w:rsidRDefault="00AF3330" w:rsidP="00AF3330">
            <w:pPr>
              <w:suppressAutoHyphens/>
              <w:autoSpaceDE w:val="0"/>
              <w:autoSpaceDN w:val="0"/>
              <w:adjustRightInd w:val="0"/>
              <w:spacing w:line="240" w:lineRule="auto"/>
              <w:ind w:right="113"/>
              <w:textAlignment w:val="center"/>
              <w:cnfStyle w:val="000000100000" w:firstRow="0" w:lastRow="0" w:firstColumn="0" w:lastColumn="0" w:oddVBand="0" w:evenVBand="0" w:oddHBand="1" w:evenHBand="0" w:firstRowFirstColumn="0" w:firstRowLastColumn="0" w:lastRowFirstColumn="0" w:lastRowLastColumn="0"/>
              <w:rPr>
                <w:rFonts w:eastAsia="Calibri" w:cs="Arial"/>
                <w:bCs/>
                <w:sz w:val="16"/>
                <w:szCs w:val="16"/>
              </w:rPr>
            </w:pPr>
            <w:r w:rsidRPr="00772F21">
              <w:rPr>
                <w:rFonts w:eastAsia="Calibri" w:cs="Arial"/>
                <w:bCs/>
                <w:sz w:val="16"/>
                <w:szCs w:val="16"/>
              </w:rPr>
              <w:t>Average score on the perceived justice of the compensation process scale for all workers</w:t>
            </w:r>
          </w:p>
        </w:tc>
        <w:tc>
          <w:tcPr>
            <w:tcW w:w="6520" w:type="dxa"/>
            <w:shd w:val="clear" w:color="auto" w:fill="FFFFFF" w:themeFill="background1"/>
            <w:vAlign w:val="center"/>
          </w:tcPr>
          <w:p w14:paraId="3F05AA68" w14:textId="77777777" w:rsidR="00AF3330" w:rsidRPr="00B67E71" w:rsidRDefault="00AF3330" w:rsidP="00AF3330">
            <w:pPr>
              <w:numPr>
                <w:ilvl w:val="0"/>
                <w:numId w:val="11"/>
              </w:numPr>
              <w:tabs>
                <w:tab w:val="left" w:pos="6691"/>
              </w:tabs>
              <w:spacing w:line="240" w:lineRule="auto"/>
              <w:ind w:left="316" w:hanging="284"/>
              <w:cnfStyle w:val="000000100000" w:firstRow="0" w:lastRow="0" w:firstColumn="0" w:lastColumn="0" w:oddVBand="0" w:evenVBand="0" w:oddHBand="1" w:evenHBand="0" w:firstRowFirstColumn="0" w:firstRowLastColumn="0" w:lastRowFirstColumn="0" w:lastRowLastColumn="0"/>
              <w:rPr>
                <w:rFonts w:cs="Arial"/>
                <w:sz w:val="16"/>
                <w:szCs w:val="16"/>
              </w:rPr>
            </w:pPr>
            <w:r w:rsidRPr="00B67E71">
              <w:rPr>
                <w:rFonts w:cs="Arial"/>
                <w:sz w:val="16"/>
                <w:szCs w:val="16"/>
              </w:rPr>
              <w:t xml:space="preserve">Strong evidence that fairness/justice is a leading indicator of </w:t>
            </w:r>
            <w:r>
              <w:rPr>
                <w:rFonts w:cs="Arial"/>
                <w:sz w:val="16"/>
                <w:szCs w:val="16"/>
              </w:rPr>
              <w:t>return to work</w:t>
            </w:r>
            <w:r w:rsidRPr="00B67E71">
              <w:rPr>
                <w:rFonts w:cs="Arial"/>
                <w:sz w:val="16"/>
                <w:szCs w:val="16"/>
              </w:rPr>
              <w:t>.</w:t>
            </w:r>
          </w:p>
          <w:p w14:paraId="57671B71" w14:textId="77777777" w:rsidR="00AF3330" w:rsidRPr="00B67E71" w:rsidRDefault="00AF3330" w:rsidP="00AF3330">
            <w:pPr>
              <w:numPr>
                <w:ilvl w:val="0"/>
                <w:numId w:val="11"/>
              </w:numPr>
              <w:tabs>
                <w:tab w:val="left" w:pos="6691"/>
              </w:tabs>
              <w:spacing w:line="240" w:lineRule="auto"/>
              <w:ind w:left="316" w:hanging="284"/>
              <w:cnfStyle w:val="000000100000" w:firstRow="0" w:lastRow="0" w:firstColumn="0" w:lastColumn="0" w:oddVBand="0" w:evenVBand="0" w:oddHBand="1" w:evenHBand="0" w:firstRowFirstColumn="0" w:firstRowLastColumn="0" w:lastRowFirstColumn="0" w:lastRowLastColumn="0"/>
              <w:rPr>
                <w:rFonts w:cs="Arial"/>
                <w:sz w:val="16"/>
                <w:szCs w:val="16"/>
              </w:rPr>
            </w:pPr>
            <w:r w:rsidRPr="00B67E71">
              <w:rPr>
                <w:rFonts w:cs="Arial"/>
                <w:sz w:val="16"/>
                <w:szCs w:val="16"/>
              </w:rPr>
              <w:t>Uses validated scale.</w:t>
            </w:r>
          </w:p>
          <w:p w14:paraId="12147180" w14:textId="77777777" w:rsidR="00AF3330" w:rsidRDefault="00AF3330" w:rsidP="00AF3330">
            <w:pPr>
              <w:numPr>
                <w:ilvl w:val="0"/>
                <w:numId w:val="11"/>
              </w:numPr>
              <w:tabs>
                <w:tab w:val="left" w:pos="6691"/>
              </w:tabs>
              <w:spacing w:line="240" w:lineRule="auto"/>
              <w:ind w:left="316" w:hanging="284"/>
              <w:cnfStyle w:val="000000100000" w:firstRow="0" w:lastRow="0" w:firstColumn="0" w:lastColumn="0" w:oddVBand="0" w:evenVBand="0" w:oddHBand="1" w:evenHBand="0" w:firstRowFirstColumn="0" w:firstRowLastColumn="0" w:lastRowFirstColumn="0" w:lastRowLastColumn="0"/>
              <w:rPr>
                <w:rFonts w:cs="Arial"/>
                <w:sz w:val="16"/>
                <w:szCs w:val="16"/>
              </w:rPr>
            </w:pPr>
            <w:r w:rsidRPr="00B67E71">
              <w:rPr>
                <w:rFonts w:cs="Arial"/>
                <w:sz w:val="16"/>
                <w:szCs w:val="16"/>
              </w:rPr>
              <w:t>Baseline data available from 2018 NRTWS.</w:t>
            </w:r>
          </w:p>
          <w:p w14:paraId="299498B7" w14:textId="33E5DBC1" w:rsidR="009C09D2" w:rsidRPr="00B67E71" w:rsidRDefault="00454A1D" w:rsidP="00D553DC">
            <w:pPr>
              <w:numPr>
                <w:ilvl w:val="0"/>
                <w:numId w:val="11"/>
              </w:numPr>
              <w:tabs>
                <w:tab w:val="left" w:pos="6691"/>
              </w:tabs>
              <w:spacing w:line="240" w:lineRule="auto"/>
              <w:ind w:left="316" w:hanging="284"/>
              <w:cnfStyle w:val="000000100000" w:firstRow="0" w:lastRow="0" w:firstColumn="0" w:lastColumn="0" w:oddVBand="0" w:evenVBand="0" w:oddHBand="1" w:evenHBand="0" w:firstRowFirstColumn="0" w:firstRowLastColumn="0" w:lastRowFirstColumn="0" w:lastRowLastColumn="0"/>
              <w:rPr>
                <w:rFonts w:cs="Arial"/>
                <w:sz w:val="16"/>
                <w:szCs w:val="16"/>
              </w:rPr>
            </w:pPr>
            <w:r>
              <w:rPr>
                <w:rFonts w:eastAsia="Arial" w:cs="Arial"/>
                <w:color w:val="000000"/>
                <w:sz w:val="16"/>
                <w:szCs w:val="16"/>
                <w:lang w:eastAsia="zh-CN"/>
              </w:rPr>
              <w:t xml:space="preserve">See </w:t>
            </w:r>
            <w:hyperlink r:id="rId19" w:history="1">
              <w:r w:rsidR="009C09D2" w:rsidRPr="009C09D2">
                <w:rPr>
                  <w:rStyle w:val="Hyperlink"/>
                  <w:rFonts w:eastAsia="Arial" w:cs="Arial"/>
                  <w:sz w:val="16"/>
                  <w:szCs w:val="16"/>
                  <w:lang w:eastAsia="zh-CN"/>
                </w:rPr>
                <w:t>NRTWS 2018 questionnaire</w:t>
              </w:r>
            </w:hyperlink>
            <w:r>
              <w:rPr>
                <w:rFonts w:eastAsia="Arial" w:cs="Arial"/>
                <w:color w:val="000000"/>
                <w:sz w:val="16"/>
                <w:szCs w:val="16"/>
                <w:lang w:eastAsia="zh-CN"/>
              </w:rPr>
              <w:t xml:space="preserve"> - </w:t>
            </w:r>
            <w:r w:rsidR="009C09D2">
              <w:rPr>
                <w:rFonts w:eastAsia="Arial" w:cs="Arial"/>
                <w:color w:val="000000"/>
                <w:sz w:val="16"/>
                <w:szCs w:val="16"/>
                <w:lang w:eastAsia="zh-CN"/>
              </w:rPr>
              <w:t>question WC5, page 21</w:t>
            </w:r>
          </w:p>
        </w:tc>
        <w:tc>
          <w:tcPr>
            <w:tcW w:w="993" w:type="dxa"/>
            <w:shd w:val="clear" w:color="auto" w:fill="FFFFFF" w:themeFill="background1"/>
            <w:vAlign w:val="center"/>
          </w:tcPr>
          <w:p w14:paraId="44B37614" w14:textId="77777777" w:rsidR="00AF3330" w:rsidRPr="00B67E71" w:rsidRDefault="00AF3330" w:rsidP="00BA6315">
            <w:pPr>
              <w:tabs>
                <w:tab w:val="left" w:pos="6691"/>
              </w:tabs>
              <w:spacing w:line="259" w:lineRule="auto"/>
              <w:cnfStyle w:val="000000100000" w:firstRow="0" w:lastRow="0" w:firstColumn="0" w:lastColumn="0" w:oddVBand="0" w:evenVBand="0" w:oddHBand="1" w:evenHBand="0" w:firstRowFirstColumn="0" w:firstRowLastColumn="0" w:lastRowFirstColumn="0" w:lastRowLastColumn="0"/>
              <w:rPr>
                <w:rFonts w:cs="Arial"/>
                <w:bCs/>
                <w:sz w:val="16"/>
                <w:szCs w:val="16"/>
              </w:rPr>
            </w:pPr>
            <w:r w:rsidRPr="00B67E71">
              <w:rPr>
                <w:rFonts w:cs="Arial"/>
                <w:bCs/>
                <w:sz w:val="16"/>
                <w:szCs w:val="16"/>
              </w:rPr>
              <w:t>Increase</w:t>
            </w:r>
          </w:p>
        </w:tc>
        <w:tc>
          <w:tcPr>
            <w:tcW w:w="992" w:type="dxa"/>
            <w:shd w:val="clear" w:color="auto" w:fill="FFFFFF" w:themeFill="background1"/>
            <w:vAlign w:val="center"/>
          </w:tcPr>
          <w:p w14:paraId="33C5AFB0" w14:textId="77777777" w:rsidR="00AF3330" w:rsidRPr="00B67E71" w:rsidRDefault="00AF3330" w:rsidP="00BA6315">
            <w:pPr>
              <w:tabs>
                <w:tab w:val="left" w:pos="6691"/>
              </w:tabs>
              <w:spacing w:line="259" w:lineRule="auto"/>
              <w:cnfStyle w:val="000000100000" w:firstRow="0" w:lastRow="0" w:firstColumn="0" w:lastColumn="0" w:oddVBand="0" w:evenVBand="0" w:oddHBand="1" w:evenHBand="0" w:firstRowFirstColumn="0" w:firstRowLastColumn="0" w:lastRowFirstColumn="0" w:lastRowLastColumn="0"/>
              <w:rPr>
                <w:rFonts w:cs="Arial"/>
                <w:bCs/>
                <w:sz w:val="16"/>
                <w:szCs w:val="16"/>
              </w:rPr>
            </w:pPr>
            <w:r w:rsidRPr="00B67E71">
              <w:rPr>
                <w:rFonts w:cs="Arial"/>
                <w:bCs/>
                <w:sz w:val="16"/>
                <w:szCs w:val="16"/>
              </w:rPr>
              <w:t>Moderate</w:t>
            </w:r>
          </w:p>
        </w:tc>
      </w:tr>
      <w:tr w:rsidR="00AF3330" w:rsidRPr="00B67E71" w14:paraId="2EA07FA9" w14:textId="77777777" w:rsidTr="00D553DC">
        <w:tc>
          <w:tcPr>
            <w:cnfStyle w:val="001000000000" w:firstRow="0" w:lastRow="0" w:firstColumn="1" w:lastColumn="0" w:oddVBand="0" w:evenVBand="0" w:oddHBand="0" w:evenHBand="0" w:firstRowFirstColumn="0" w:firstRowLastColumn="0" w:lastRowFirstColumn="0" w:lastRowLastColumn="0"/>
            <w:tcW w:w="1701" w:type="dxa"/>
            <w:shd w:val="clear" w:color="auto" w:fill="FFFFFF" w:themeFill="background1"/>
            <w:vAlign w:val="center"/>
          </w:tcPr>
          <w:p w14:paraId="732A4CE5" w14:textId="77777777" w:rsidR="00AF3330" w:rsidRPr="005A6F2F" w:rsidRDefault="00AF3330" w:rsidP="00AF3330">
            <w:pPr>
              <w:tabs>
                <w:tab w:val="left" w:pos="6691"/>
              </w:tabs>
              <w:rPr>
                <w:rFonts w:eastAsia="Calibri" w:cs="Arial"/>
                <w:sz w:val="16"/>
                <w:szCs w:val="16"/>
              </w:rPr>
            </w:pPr>
            <w:r w:rsidRPr="005A6F2F">
              <w:rPr>
                <w:rFonts w:eastAsia="Calibri" w:cs="Arial"/>
                <w:sz w:val="16"/>
                <w:szCs w:val="16"/>
              </w:rPr>
              <w:t>Work-focussed healthcare</w:t>
            </w:r>
          </w:p>
        </w:tc>
        <w:tc>
          <w:tcPr>
            <w:tcW w:w="993" w:type="dxa"/>
            <w:shd w:val="clear" w:color="auto" w:fill="FFFFFF" w:themeFill="background1"/>
            <w:vAlign w:val="center"/>
          </w:tcPr>
          <w:p w14:paraId="38D4E30E" w14:textId="77777777" w:rsidR="00AF3330" w:rsidRPr="00B67E71" w:rsidRDefault="00AF3330" w:rsidP="00AF3330">
            <w:pPr>
              <w:tabs>
                <w:tab w:val="left" w:pos="6691"/>
              </w:tabs>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B67E71">
              <w:rPr>
                <w:rFonts w:eastAsia="Calibri" w:cs="Arial"/>
                <w:sz w:val="16"/>
                <w:szCs w:val="16"/>
              </w:rPr>
              <w:t>NRTWS</w:t>
            </w:r>
          </w:p>
        </w:tc>
        <w:tc>
          <w:tcPr>
            <w:tcW w:w="992" w:type="dxa"/>
            <w:shd w:val="clear" w:color="auto" w:fill="FFFFFF" w:themeFill="background1"/>
            <w:vAlign w:val="center"/>
          </w:tcPr>
          <w:p w14:paraId="5A175F49" w14:textId="77777777" w:rsidR="00AF3330" w:rsidRPr="00B67E71" w:rsidRDefault="00AF3330" w:rsidP="00AF3330">
            <w:pPr>
              <w:tabs>
                <w:tab w:val="left" w:pos="6691"/>
              </w:tabs>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B67E71">
              <w:rPr>
                <w:rFonts w:eastAsia="Calibri" w:cs="Arial"/>
                <w:sz w:val="16"/>
                <w:szCs w:val="16"/>
              </w:rPr>
              <w:t>Healthcare</w:t>
            </w:r>
          </w:p>
        </w:tc>
        <w:tc>
          <w:tcPr>
            <w:tcW w:w="2835" w:type="dxa"/>
            <w:shd w:val="clear" w:color="auto" w:fill="FFFFFF" w:themeFill="background1"/>
            <w:vAlign w:val="center"/>
          </w:tcPr>
          <w:p w14:paraId="4DAF4D22" w14:textId="77777777" w:rsidR="00AF3330" w:rsidRPr="00772F21" w:rsidRDefault="00AF3330" w:rsidP="00AF3330">
            <w:pPr>
              <w:suppressAutoHyphens/>
              <w:autoSpaceDE w:val="0"/>
              <w:autoSpaceDN w:val="0"/>
              <w:adjustRightInd w:val="0"/>
              <w:spacing w:line="240" w:lineRule="auto"/>
              <w:ind w:right="113"/>
              <w:textAlignment w:val="center"/>
              <w:cnfStyle w:val="000000000000" w:firstRow="0" w:lastRow="0" w:firstColumn="0" w:lastColumn="0" w:oddVBand="0" w:evenVBand="0" w:oddHBand="0" w:evenHBand="0" w:firstRowFirstColumn="0" w:firstRowLastColumn="0" w:lastRowFirstColumn="0" w:lastRowLastColumn="0"/>
              <w:rPr>
                <w:rFonts w:eastAsia="Calibri" w:cs="Arial"/>
                <w:bCs/>
                <w:sz w:val="16"/>
                <w:szCs w:val="16"/>
              </w:rPr>
            </w:pPr>
            <w:r w:rsidRPr="00772F21">
              <w:rPr>
                <w:rFonts w:eastAsia="Calibri" w:cs="Arial"/>
                <w:bCs/>
                <w:sz w:val="16"/>
                <w:szCs w:val="16"/>
              </w:rPr>
              <w:t>Average score on work-focussed healthcare questions for all workers</w:t>
            </w:r>
          </w:p>
        </w:tc>
        <w:tc>
          <w:tcPr>
            <w:tcW w:w="6520" w:type="dxa"/>
            <w:shd w:val="clear" w:color="auto" w:fill="FFFFFF" w:themeFill="background1"/>
            <w:vAlign w:val="center"/>
          </w:tcPr>
          <w:p w14:paraId="592EF47B" w14:textId="77777777" w:rsidR="00AF3330" w:rsidRPr="00B67E71" w:rsidRDefault="00AF3330" w:rsidP="00AF3330">
            <w:pPr>
              <w:numPr>
                <w:ilvl w:val="0"/>
                <w:numId w:val="10"/>
              </w:numPr>
              <w:tabs>
                <w:tab w:val="left" w:pos="6691"/>
              </w:tabs>
              <w:spacing w:line="240" w:lineRule="auto"/>
              <w:ind w:left="316" w:hanging="284"/>
              <w:cnfStyle w:val="000000000000" w:firstRow="0" w:lastRow="0" w:firstColumn="0" w:lastColumn="0" w:oddVBand="0" w:evenVBand="0" w:oddHBand="0" w:evenHBand="0" w:firstRowFirstColumn="0" w:firstRowLastColumn="0" w:lastRowFirstColumn="0" w:lastRowLastColumn="0"/>
              <w:rPr>
                <w:rFonts w:cs="Arial"/>
                <w:sz w:val="16"/>
                <w:szCs w:val="16"/>
              </w:rPr>
            </w:pPr>
            <w:r w:rsidRPr="00B67E71">
              <w:rPr>
                <w:rFonts w:cs="Arial"/>
                <w:sz w:val="16"/>
                <w:szCs w:val="16"/>
              </w:rPr>
              <w:t xml:space="preserve">Strong evidence that work-focused healthcare supports </w:t>
            </w:r>
            <w:r>
              <w:rPr>
                <w:rFonts w:cs="Arial"/>
                <w:sz w:val="16"/>
                <w:szCs w:val="16"/>
              </w:rPr>
              <w:t>return to work</w:t>
            </w:r>
            <w:r w:rsidRPr="00B67E71">
              <w:rPr>
                <w:rFonts w:cs="Arial"/>
                <w:sz w:val="16"/>
                <w:szCs w:val="16"/>
              </w:rPr>
              <w:t xml:space="preserve">. </w:t>
            </w:r>
          </w:p>
          <w:p w14:paraId="7965F86F" w14:textId="77777777" w:rsidR="00AF3330" w:rsidRPr="00B67E71" w:rsidRDefault="00AF3330" w:rsidP="00AF3330">
            <w:pPr>
              <w:numPr>
                <w:ilvl w:val="0"/>
                <w:numId w:val="10"/>
              </w:numPr>
              <w:tabs>
                <w:tab w:val="left" w:pos="6691"/>
              </w:tabs>
              <w:spacing w:line="240" w:lineRule="auto"/>
              <w:ind w:left="316" w:hanging="284"/>
              <w:cnfStyle w:val="000000000000" w:firstRow="0" w:lastRow="0" w:firstColumn="0" w:lastColumn="0" w:oddVBand="0" w:evenVBand="0" w:oddHBand="0" w:evenHBand="0" w:firstRowFirstColumn="0" w:firstRowLastColumn="0" w:lastRowFirstColumn="0" w:lastRowLastColumn="0"/>
              <w:rPr>
                <w:rFonts w:cs="Arial"/>
                <w:sz w:val="16"/>
                <w:szCs w:val="16"/>
              </w:rPr>
            </w:pPr>
            <w:r w:rsidRPr="00B67E71">
              <w:rPr>
                <w:rFonts w:cs="Arial"/>
                <w:sz w:val="16"/>
                <w:szCs w:val="16"/>
              </w:rPr>
              <w:t xml:space="preserve">Captures information on main healthcare practitioner, not only GPs. </w:t>
            </w:r>
          </w:p>
          <w:p w14:paraId="2DBFEDE8" w14:textId="77777777" w:rsidR="009C09D2" w:rsidRDefault="00AF3330" w:rsidP="00AF3330">
            <w:pPr>
              <w:numPr>
                <w:ilvl w:val="0"/>
                <w:numId w:val="10"/>
              </w:numPr>
              <w:tabs>
                <w:tab w:val="left" w:pos="6691"/>
              </w:tabs>
              <w:spacing w:line="240" w:lineRule="auto"/>
              <w:ind w:left="316" w:hanging="284"/>
              <w:cnfStyle w:val="000000000000" w:firstRow="0" w:lastRow="0" w:firstColumn="0" w:lastColumn="0" w:oddVBand="0" w:evenVBand="0" w:oddHBand="0" w:evenHBand="0" w:firstRowFirstColumn="0" w:firstRowLastColumn="0" w:lastRowFirstColumn="0" w:lastRowLastColumn="0"/>
              <w:rPr>
                <w:rFonts w:cs="Arial"/>
                <w:sz w:val="16"/>
                <w:szCs w:val="16"/>
              </w:rPr>
            </w:pPr>
            <w:r w:rsidRPr="00B67E71">
              <w:rPr>
                <w:rFonts w:cs="Arial"/>
                <w:sz w:val="16"/>
                <w:szCs w:val="16"/>
              </w:rPr>
              <w:t xml:space="preserve">Baseline data available from 2018 NRTWS. </w:t>
            </w:r>
          </w:p>
          <w:p w14:paraId="57F8ADCA" w14:textId="171AEDC0" w:rsidR="00AF3330" w:rsidRPr="00B67E71" w:rsidRDefault="00454A1D" w:rsidP="00D553DC">
            <w:pPr>
              <w:numPr>
                <w:ilvl w:val="0"/>
                <w:numId w:val="10"/>
              </w:numPr>
              <w:tabs>
                <w:tab w:val="left" w:pos="6691"/>
              </w:tabs>
              <w:spacing w:line="240" w:lineRule="auto"/>
              <w:ind w:left="316" w:hanging="284"/>
              <w:cnfStyle w:val="000000000000" w:firstRow="0" w:lastRow="0" w:firstColumn="0" w:lastColumn="0" w:oddVBand="0" w:evenVBand="0" w:oddHBand="0" w:evenHBand="0" w:firstRowFirstColumn="0" w:firstRowLastColumn="0" w:lastRowFirstColumn="0" w:lastRowLastColumn="0"/>
              <w:rPr>
                <w:rFonts w:cs="Arial"/>
                <w:sz w:val="16"/>
                <w:szCs w:val="16"/>
              </w:rPr>
            </w:pPr>
            <w:r>
              <w:rPr>
                <w:rFonts w:eastAsia="Arial" w:cs="Arial"/>
                <w:color w:val="000000"/>
                <w:sz w:val="16"/>
                <w:szCs w:val="16"/>
                <w:lang w:eastAsia="zh-CN"/>
              </w:rPr>
              <w:t xml:space="preserve">See </w:t>
            </w:r>
            <w:hyperlink r:id="rId20" w:history="1">
              <w:r w:rsidR="009C09D2" w:rsidRPr="009C09D2">
                <w:rPr>
                  <w:rStyle w:val="Hyperlink"/>
                  <w:rFonts w:eastAsia="Arial" w:cs="Arial"/>
                  <w:sz w:val="16"/>
                  <w:szCs w:val="16"/>
                  <w:lang w:eastAsia="zh-CN"/>
                </w:rPr>
                <w:t>NRTWS 2018 questionnaire</w:t>
              </w:r>
            </w:hyperlink>
            <w:r>
              <w:rPr>
                <w:rFonts w:eastAsia="Arial" w:cs="Arial"/>
                <w:color w:val="000000"/>
                <w:sz w:val="16"/>
                <w:szCs w:val="16"/>
                <w:lang w:eastAsia="zh-CN"/>
              </w:rPr>
              <w:t xml:space="preserve"> -</w:t>
            </w:r>
            <w:r w:rsidR="000378CB">
              <w:rPr>
                <w:rFonts w:eastAsia="Arial" w:cs="Arial"/>
                <w:color w:val="000000"/>
                <w:sz w:val="16"/>
                <w:szCs w:val="16"/>
                <w:lang w:eastAsia="zh-CN"/>
              </w:rPr>
              <w:t xml:space="preserve"> question HL3b, page 26.</w:t>
            </w:r>
            <w:r w:rsidR="00AF3330" w:rsidRPr="00B67E71">
              <w:rPr>
                <w:rFonts w:cs="Arial"/>
                <w:sz w:val="16"/>
                <w:szCs w:val="16"/>
              </w:rPr>
              <w:t xml:space="preserve"> </w:t>
            </w:r>
          </w:p>
        </w:tc>
        <w:tc>
          <w:tcPr>
            <w:tcW w:w="993" w:type="dxa"/>
            <w:shd w:val="clear" w:color="auto" w:fill="FFFFFF" w:themeFill="background1"/>
            <w:vAlign w:val="center"/>
          </w:tcPr>
          <w:p w14:paraId="7A2FF4C6" w14:textId="77777777" w:rsidR="00AF3330" w:rsidRPr="00B67E71" w:rsidRDefault="00AF3330" w:rsidP="00BA6315">
            <w:pPr>
              <w:tabs>
                <w:tab w:val="left" w:pos="6691"/>
              </w:tabs>
              <w:spacing w:line="259" w:lineRule="auto"/>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B67E71">
              <w:rPr>
                <w:rFonts w:cs="Arial"/>
                <w:bCs/>
                <w:sz w:val="16"/>
                <w:szCs w:val="16"/>
              </w:rPr>
              <w:t>Increase</w:t>
            </w:r>
          </w:p>
        </w:tc>
        <w:tc>
          <w:tcPr>
            <w:tcW w:w="992" w:type="dxa"/>
            <w:shd w:val="clear" w:color="auto" w:fill="FFFFFF" w:themeFill="background1"/>
            <w:vAlign w:val="center"/>
          </w:tcPr>
          <w:p w14:paraId="1CCE3A55" w14:textId="77777777" w:rsidR="00AF3330" w:rsidRPr="00B67E71" w:rsidRDefault="00AF3330" w:rsidP="00BA6315">
            <w:pPr>
              <w:tabs>
                <w:tab w:val="left" w:pos="6691"/>
              </w:tabs>
              <w:spacing w:line="259" w:lineRule="auto"/>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B67E71">
              <w:rPr>
                <w:rFonts w:cs="Arial"/>
                <w:bCs/>
                <w:sz w:val="16"/>
                <w:szCs w:val="16"/>
              </w:rPr>
              <w:t>Small to Moderate</w:t>
            </w:r>
          </w:p>
        </w:tc>
      </w:tr>
      <w:tr w:rsidR="00AF3330" w:rsidRPr="00B67E71" w14:paraId="4B50EF24" w14:textId="77777777" w:rsidTr="00D5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FFFFFF" w:themeFill="background1"/>
            <w:vAlign w:val="center"/>
          </w:tcPr>
          <w:p w14:paraId="5E4E3362" w14:textId="77777777" w:rsidR="00AF3330" w:rsidRPr="005A6F2F" w:rsidRDefault="00AF3330" w:rsidP="00AF3330">
            <w:pPr>
              <w:tabs>
                <w:tab w:val="left" w:pos="6691"/>
              </w:tabs>
              <w:rPr>
                <w:rFonts w:eastAsia="Calibri" w:cs="Arial"/>
                <w:sz w:val="16"/>
                <w:szCs w:val="16"/>
              </w:rPr>
            </w:pPr>
            <w:r w:rsidRPr="005A6F2F">
              <w:rPr>
                <w:rFonts w:eastAsia="Calibri" w:cs="Arial"/>
                <w:sz w:val="16"/>
                <w:szCs w:val="16"/>
              </w:rPr>
              <w:t>Healthcare stress</w:t>
            </w:r>
          </w:p>
        </w:tc>
        <w:tc>
          <w:tcPr>
            <w:tcW w:w="993" w:type="dxa"/>
            <w:shd w:val="clear" w:color="auto" w:fill="FFFFFF" w:themeFill="background1"/>
            <w:vAlign w:val="center"/>
          </w:tcPr>
          <w:p w14:paraId="79163142" w14:textId="77777777" w:rsidR="00AF3330" w:rsidRPr="00B67E71" w:rsidRDefault="00AF3330" w:rsidP="00AF3330">
            <w:pPr>
              <w:tabs>
                <w:tab w:val="left" w:pos="6691"/>
              </w:tabs>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r w:rsidRPr="00B67E71">
              <w:rPr>
                <w:rFonts w:eastAsia="Calibri" w:cs="Arial"/>
                <w:sz w:val="16"/>
                <w:szCs w:val="16"/>
              </w:rPr>
              <w:t>NRTWS</w:t>
            </w:r>
          </w:p>
        </w:tc>
        <w:tc>
          <w:tcPr>
            <w:tcW w:w="992" w:type="dxa"/>
            <w:shd w:val="clear" w:color="auto" w:fill="FFFFFF" w:themeFill="background1"/>
            <w:vAlign w:val="center"/>
          </w:tcPr>
          <w:p w14:paraId="636C9813" w14:textId="77777777" w:rsidR="00AF3330" w:rsidRPr="00B67E71" w:rsidRDefault="00AF3330" w:rsidP="00AF3330">
            <w:pPr>
              <w:tabs>
                <w:tab w:val="left" w:pos="6691"/>
              </w:tabs>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r w:rsidRPr="00B67E71">
              <w:rPr>
                <w:rFonts w:eastAsia="Calibri" w:cs="Arial"/>
                <w:sz w:val="16"/>
                <w:szCs w:val="16"/>
              </w:rPr>
              <w:t>Healthcare</w:t>
            </w:r>
          </w:p>
        </w:tc>
        <w:tc>
          <w:tcPr>
            <w:tcW w:w="2835" w:type="dxa"/>
            <w:shd w:val="clear" w:color="auto" w:fill="FFFFFF" w:themeFill="background1"/>
            <w:vAlign w:val="center"/>
          </w:tcPr>
          <w:p w14:paraId="58130EB5" w14:textId="77777777" w:rsidR="00AF3330" w:rsidRPr="00772F21" w:rsidRDefault="00AF3330" w:rsidP="00AF3330">
            <w:pPr>
              <w:suppressAutoHyphens/>
              <w:autoSpaceDE w:val="0"/>
              <w:autoSpaceDN w:val="0"/>
              <w:adjustRightInd w:val="0"/>
              <w:spacing w:line="240" w:lineRule="auto"/>
              <w:ind w:right="113"/>
              <w:textAlignment w:val="center"/>
              <w:cnfStyle w:val="000000100000" w:firstRow="0" w:lastRow="0" w:firstColumn="0" w:lastColumn="0" w:oddVBand="0" w:evenVBand="0" w:oddHBand="1" w:evenHBand="0" w:firstRowFirstColumn="0" w:firstRowLastColumn="0" w:lastRowFirstColumn="0" w:lastRowLastColumn="0"/>
              <w:rPr>
                <w:rFonts w:eastAsia="Calibri" w:cs="Arial"/>
                <w:bCs/>
                <w:sz w:val="16"/>
                <w:szCs w:val="16"/>
              </w:rPr>
            </w:pPr>
            <w:r w:rsidRPr="00772F21">
              <w:rPr>
                <w:rFonts w:eastAsia="Calibri" w:cs="Arial"/>
                <w:bCs/>
                <w:sz w:val="16"/>
                <w:szCs w:val="16"/>
              </w:rPr>
              <w:t>Percentage of all workers reporting that they had stressful interactions with a healthcare provider</w:t>
            </w:r>
          </w:p>
        </w:tc>
        <w:tc>
          <w:tcPr>
            <w:tcW w:w="6520" w:type="dxa"/>
            <w:shd w:val="clear" w:color="auto" w:fill="FFFFFF" w:themeFill="background1"/>
            <w:vAlign w:val="center"/>
          </w:tcPr>
          <w:p w14:paraId="6E280E9E" w14:textId="77777777" w:rsidR="00AF3330" w:rsidRPr="00B67E71" w:rsidRDefault="00AF3330" w:rsidP="00AF3330">
            <w:pPr>
              <w:numPr>
                <w:ilvl w:val="0"/>
                <w:numId w:val="10"/>
              </w:numPr>
              <w:tabs>
                <w:tab w:val="left" w:pos="6691"/>
              </w:tabs>
              <w:spacing w:line="240" w:lineRule="auto"/>
              <w:ind w:left="316" w:hanging="284"/>
              <w:cnfStyle w:val="000000100000" w:firstRow="0" w:lastRow="0" w:firstColumn="0" w:lastColumn="0" w:oddVBand="0" w:evenVBand="0" w:oddHBand="1" w:evenHBand="0" w:firstRowFirstColumn="0" w:firstRowLastColumn="0" w:lastRowFirstColumn="0" w:lastRowLastColumn="0"/>
              <w:rPr>
                <w:rFonts w:cs="Arial"/>
                <w:sz w:val="16"/>
                <w:szCs w:val="16"/>
              </w:rPr>
            </w:pPr>
            <w:r w:rsidRPr="00B67E71">
              <w:rPr>
                <w:rFonts w:cs="Arial"/>
                <w:sz w:val="16"/>
                <w:szCs w:val="16"/>
              </w:rPr>
              <w:t xml:space="preserve">Stressful healthcare interactions have been linked with slower </w:t>
            </w:r>
            <w:r>
              <w:rPr>
                <w:rFonts w:cs="Arial"/>
                <w:sz w:val="16"/>
                <w:szCs w:val="16"/>
              </w:rPr>
              <w:t>return to work</w:t>
            </w:r>
            <w:r w:rsidRPr="00B67E71">
              <w:rPr>
                <w:rFonts w:cs="Arial"/>
                <w:sz w:val="16"/>
                <w:szCs w:val="16"/>
              </w:rPr>
              <w:t xml:space="preserve">. </w:t>
            </w:r>
          </w:p>
          <w:p w14:paraId="11C5AD93" w14:textId="77777777" w:rsidR="00AF3330" w:rsidRPr="00B67E71" w:rsidRDefault="00AF3330" w:rsidP="00AF3330">
            <w:pPr>
              <w:numPr>
                <w:ilvl w:val="0"/>
                <w:numId w:val="10"/>
              </w:numPr>
              <w:tabs>
                <w:tab w:val="left" w:pos="6691"/>
              </w:tabs>
              <w:spacing w:line="240" w:lineRule="auto"/>
              <w:ind w:left="316" w:hanging="284"/>
              <w:cnfStyle w:val="000000100000" w:firstRow="0" w:lastRow="0" w:firstColumn="0" w:lastColumn="0" w:oddVBand="0" w:evenVBand="0" w:oddHBand="1" w:evenHBand="0" w:firstRowFirstColumn="0" w:firstRowLastColumn="0" w:lastRowFirstColumn="0" w:lastRowLastColumn="0"/>
              <w:rPr>
                <w:rFonts w:cs="Arial"/>
                <w:sz w:val="16"/>
                <w:szCs w:val="16"/>
              </w:rPr>
            </w:pPr>
            <w:r w:rsidRPr="00B67E71">
              <w:rPr>
                <w:rFonts w:cs="Arial"/>
                <w:sz w:val="16"/>
                <w:szCs w:val="16"/>
              </w:rPr>
              <w:t xml:space="preserve">Analysis of NRTWS shows link between workers perception of stress in healthcare encounters and </w:t>
            </w:r>
            <w:r>
              <w:rPr>
                <w:rFonts w:cs="Arial"/>
                <w:sz w:val="16"/>
                <w:szCs w:val="16"/>
              </w:rPr>
              <w:t>return to work</w:t>
            </w:r>
            <w:r w:rsidRPr="00B67E71">
              <w:rPr>
                <w:rFonts w:cs="Arial"/>
                <w:sz w:val="16"/>
                <w:szCs w:val="16"/>
              </w:rPr>
              <w:t xml:space="preserve">. </w:t>
            </w:r>
          </w:p>
          <w:p w14:paraId="67A0A2B6" w14:textId="77777777" w:rsidR="00AF3330" w:rsidRPr="00B67E71" w:rsidRDefault="00AF3330" w:rsidP="00AF3330">
            <w:pPr>
              <w:numPr>
                <w:ilvl w:val="0"/>
                <w:numId w:val="10"/>
              </w:numPr>
              <w:tabs>
                <w:tab w:val="left" w:pos="6691"/>
              </w:tabs>
              <w:spacing w:line="240" w:lineRule="auto"/>
              <w:ind w:left="316" w:hanging="284"/>
              <w:cnfStyle w:val="000000100000" w:firstRow="0" w:lastRow="0" w:firstColumn="0" w:lastColumn="0" w:oddVBand="0" w:evenVBand="0" w:oddHBand="1" w:evenHBand="0" w:firstRowFirstColumn="0" w:firstRowLastColumn="0" w:lastRowFirstColumn="0" w:lastRowLastColumn="0"/>
              <w:rPr>
                <w:rFonts w:cs="Arial"/>
                <w:sz w:val="16"/>
                <w:szCs w:val="16"/>
              </w:rPr>
            </w:pPr>
            <w:r w:rsidRPr="00B67E71">
              <w:rPr>
                <w:rFonts w:cs="Arial"/>
                <w:sz w:val="16"/>
                <w:szCs w:val="16"/>
              </w:rPr>
              <w:t>Baseline data available from 2018 NRTWS.</w:t>
            </w:r>
          </w:p>
        </w:tc>
        <w:tc>
          <w:tcPr>
            <w:tcW w:w="993" w:type="dxa"/>
            <w:shd w:val="clear" w:color="auto" w:fill="FFFFFF" w:themeFill="background1"/>
            <w:vAlign w:val="center"/>
          </w:tcPr>
          <w:p w14:paraId="188F16CE" w14:textId="77777777" w:rsidR="00AF3330" w:rsidRPr="00B67E71" w:rsidRDefault="00AF3330" w:rsidP="00BA6315">
            <w:pPr>
              <w:tabs>
                <w:tab w:val="left" w:pos="6691"/>
              </w:tabs>
              <w:spacing w:line="259" w:lineRule="auto"/>
              <w:cnfStyle w:val="000000100000" w:firstRow="0" w:lastRow="0" w:firstColumn="0" w:lastColumn="0" w:oddVBand="0" w:evenVBand="0" w:oddHBand="1" w:evenHBand="0" w:firstRowFirstColumn="0" w:firstRowLastColumn="0" w:lastRowFirstColumn="0" w:lastRowLastColumn="0"/>
              <w:rPr>
                <w:rFonts w:cs="Arial"/>
                <w:bCs/>
                <w:sz w:val="16"/>
                <w:szCs w:val="16"/>
              </w:rPr>
            </w:pPr>
            <w:r w:rsidRPr="00B67E71">
              <w:rPr>
                <w:rFonts w:cs="Arial"/>
                <w:bCs/>
                <w:sz w:val="16"/>
                <w:szCs w:val="16"/>
              </w:rPr>
              <w:t>Decrease</w:t>
            </w:r>
          </w:p>
        </w:tc>
        <w:tc>
          <w:tcPr>
            <w:tcW w:w="992" w:type="dxa"/>
            <w:shd w:val="clear" w:color="auto" w:fill="FFFFFF" w:themeFill="background1"/>
            <w:vAlign w:val="center"/>
          </w:tcPr>
          <w:p w14:paraId="446AABE3" w14:textId="77777777" w:rsidR="00AF3330" w:rsidRPr="00B67E71" w:rsidRDefault="00AF3330" w:rsidP="00BA6315">
            <w:pPr>
              <w:tabs>
                <w:tab w:val="left" w:pos="6691"/>
              </w:tabs>
              <w:spacing w:line="259" w:lineRule="auto"/>
              <w:cnfStyle w:val="000000100000" w:firstRow="0" w:lastRow="0" w:firstColumn="0" w:lastColumn="0" w:oddVBand="0" w:evenVBand="0" w:oddHBand="1" w:evenHBand="0" w:firstRowFirstColumn="0" w:firstRowLastColumn="0" w:lastRowFirstColumn="0" w:lastRowLastColumn="0"/>
              <w:rPr>
                <w:rFonts w:cs="Arial"/>
                <w:bCs/>
                <w:sz w:val="16"/>
                <w:szCs w:val="16"/>
              </w:rPr>
            </w:pPr>
            <w:r w:rsidRPr="00B67E71">
              <w:rPr>
                <w:rFonts w:cs="Arial"/>
                <w:bCs/>
                <w:sz w:val="16"/>
                <w:szCs w:val="16"/>
              </w:rPr>
              <w:t>Moderate</w:t>
            </w:r>
          </w:p>
        </w:tc>
      </w:tr>
      <w:tr w:rsidR="00AF3330" w:rsidRPr="00B67E71" w14:paraId="5F545B09" w14:textId="77777777" w:rsidTr="00D553DC">
        <w:tc>
          <w:tcPr>
            <w:cnfStyle w:val="001000000000" w:firstRow="0" w:lastRow="0" w:firstColumn="1" w:lastColumn="0" w:oddVBand="0" w:evenVBand="0" w:oddHBand="0" w:evenHBand="0" w:firstRowFirstColumn="0" w:firstRowLastColumn="0" w:lastRowFirstColumn="0" w:lastRowLastColumn="0"/>
            <w:tcW w:w="1701" w:type="dxa"/>
            <w:shd w:val="clear" w:color="auto" w:fill="FFFFFF" w:themeFill="background1"/>
            <w:vAlign w:val="center"/>
          </w:tcPr>
          <w:p w14:paraId="7AF32372" w14:textId="77777777" w:rsidR="00AF3330" w:rsidRPr="005A6F2F" w:rsidRDefault="00AF3330" w:rsidP="00AF3330">
            <w:pPr>
              <w:tabs>
                <w:tab w:val="left" w:pos="6691"/>
              </w:tabs>
              <w:rPr>
                <w:rFonts w:eastAsia="Calibri" w:cs="Arial"/>
                <w:sz w:val="16"/>
                <w:szCs w:val="16"/>
              </w:rPr>
            </w:pPr>
            <w:r w:rsidRPr="005A6F2F">
              <w:rPr>
                <w:rFonts w:eastAsia="Calibri" w:cs="Arial"/>
                <w:sz w:val="16"/>
                <w:szCs w:val="16"/>
              </w:rPr>
              <w:t xml:space="preserve">Employer response* </w:t>
            </w:r>
          </w:p>
        </w:tc>
        <w:tc>
          <w:tcPr>
            <w:tcW w:w="993" w:type="dxa"/>
            <w:shd w:val="clear" w:color="auto" w:fill="FFFFFF" w:themeFill="background1"/>
            <w:vAlign w:val="center"/>
          </w:tcPr>
          <w:p w14:paraId="5CA3D7C7" w14:textId="77777777" w:rsidR="00AF3330" w:rsidRPr="00B67E71" w:rsidRDefault="00AF3330" w:rsidP="00AF3330">
            <w:pPr>
              <w:tabs>
                <w:tab w:val="left" w:pos="6691"/>
              </w:tabs>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B67E71">
              <w:rPr>
                <w:rFonts w:eastAsia="Calibri" w:cs="Arial"/>
                <w:sz w:val="16"/>
                <w:szCs w:val="16"/>
              </w:rPr>
              <w:t>NRTWS</w:t>
            </w:r>
          </w:p>
        </w:tc>
        <w:tc>
          <w:tcPr>
            <w:tcW w:w="992" w:type="dxa"/>
            <w:shd w:val="clear" w:color="auto" w:fill="FFFFFF" w:themeFill="background1"/>
            <w:vAlign w:val="center"/>
          </w:tcPr>
          <w:p w14:paraId="1499E7CE" w14:textId="77777777" w:rsidR="00AF3330" w:rsidRPr="00B67E71" w:rsidRDefault="00AF3330" w:rsidP="00AF3330">
            <w:pPr>
              <w:tabs>
                <w:tab w:val="left" w:pos="6691"/>
              </w:tabs>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B67E71">
              <w:rPr>
                <w:rFonts w:eastAsia="Calibri" w:cs="Arial"/>
                <w:sz w:val="16"/>
                <w:szCs w:val="16"/>
              </w:rPr>
              <w:t>Employer</w:t>
            </w:r>
          </w:p>
        </w:tc>
        <w:tc>
          <w:tcPr>
            <w:tcW w:w="2835" w:type="dxa"/>
            <w:shd w:val="clear" w:color="auto" w:fill="FFFFFF" w:themeFill="background1"/>
            <w:vAlign w:val="center"/>
          </w:tcPr>
          <w:p w14:paraId="6F5E7CA2" w14:textId="77777777" w:rsidR="00AF3330" w:rsidRPr="00772F21" w:rsidRDefault="00AF3330" w:rsidP="00AF3330">
            <w:pPr>
              <w:suppressAutoHyphens/>
              <w:autoSpaceDE w:val="0"/>
              <w:autoSpaceDN w:val="0"/>
              <w:adjustRightInd w:val="0"/>
              <w:spacing w:line="240" w:lineRule="auto"/>
              <w:ind w:right="113"/>
              <w:textAlignment w:val="center"/>
              <w:cnfStyle w:val="000000000000" w:firstRow="0" w:lastRow="0" w:firstColumn="0" w:lastColumn="0" w:oddVBand="0" w:evenVBand="0" w:oddHBand="0" w:evenHBand="0" w:firstRowFirstColumn="0" w:firstRowLastColumn="0" w:lastRowFirstColumn="0" w:lastRowLastColumn="0"/>
              <w:rPr>
                <w:rFonts w:eastAsia="Calibri" w:cs="Arial"/>
                <w:bCs/>
                <w:sz w:val="16"/>
                <w:szCs w:val="16"/>
              </w:rPr>
            </w:pPr>
            <w:r w:rsidRPr="00772F21">
              <w:rPr>
                <w:rFonts w:eastAsia="Calibri" w:cs="Arial"/>
                <w:bCs/>
                <w:sz w:val="16"/>
                <w:szCs w:val="16"/>
              </w:rPr>
              <w:t>Percentage of all workers agreeing that their employer supported them following their injury (score based on 6 questions about the employer’s attitudes and behaviours)</w:t>
            </w:r>
          </w:p>
        </w:tc>
        <w:tc>
          <w:tcPr>
            <w:tcW w:w="6520" w:type="dxa"/>
            <w:shd w:val="clear" w:color="auto" w:fill="FFFFFF" w:themeFill="background1"/>
            <w:vAlign w:val="center"/>
          </w:tcPr>
          <w:p w14:paraId="16E058E7" w14:textId="77777777" w:rsidR="00AF3330" w:rsidRPr="00B67E71" w:rsidRDefault="00AF3330" w:rsidP="00AF3330">
            <w:pPr>
              <w:numPr>
                <w:ilvl w:val="0"/>
                <w:numId w:val="10"/>
              </w:numPr>
              <w:tabs>
                <w:tab w:val="left" w:pos="6691"/>
              </w:tabs>
              <w:spacing w:line="240" w:lineRule="auto"/>
              <w:ind w:left="316" w:hanging="284"/>
              <w:cnfStyle w:val="000000000000" w:firstRow="0" w:lastRow="0" w:firstColumn="0" w:lastColumn="0" w:oddVBand="0" w:evenVBand="0" w:oddHBand="0" w:evenHBand="0" w:firstRowFirstColumn="0" w:firstRowLastColumn="0" w:lastRowFirstColumn="0" w:lastRowLastColumn="0"/>
              <w:rPr>
                <w:rFonts w:cs="Arial"/>
                <w:sz w:val="16"/>
                <w:szCs w:val="16"/>
              </w:rPr>
            </w:pPr>
            <w:r w:rsidRPr="00B67E71">
              <w:rPr>
                <w:rFonts w:cs="Arial"/>
                <w:sz w:val="16"/>
                <w:szCs w:val="16"/>
              </w:rPr>
              <w:t xml:space="preserve">Strong evidence that positive employer response can facilitate </w:t>
            </w:r>
            <w:r>
              <w:rPr>
                <w:rFonts w:cs="Arial"/>
                <w:sz w:val="16"/>
                <w:szCs w:val="16"/>
              </w:rPr>
              <w:t>return to work</w:t>
            </w:r>
            <w:r w:rsidRPr="00B67E71">
              <w:rPr>
                <w:rFonts w:cs="Arial"/>
                <w:sz w:val="16"/>
                <w:szCs w:val="16"/>
              </w:rPr>
              <w:t>.</w:t>
            </w:r>
          </w:p>
          <w:p w14:paraId="37BF47BF" w14:textId="77777777" w:rsidR="00AF3330" w:rsidRPr="00B67E71" w:rsidRDefault="00AF3330" w:rsidP="00AF3330">
            <w:pPr>
              <w:numPr>
                <w:ilvl w:val="0"/>
                <w:numId w:val="10"/>
              </w:numPr>
              <w:tabs>
                <w:tab w:val="left" w:pos="6691"/>
              </w:tabs>
              <w:spacing w:line="240" w:lineRule="auto"/>
              <w:ind w:left="316" w:hanging="284"/>
              <w:cnfStyle w:val="000000000000" w:firstRow="0" w:lastRow="0" w:firstColumn="0" w:lastColumn="0" w:oddVBand="0" w:evenVBand="0" w:oddHBand="0" w:evenHBand="0" w:firstRowFirstColumn="0" w:firstRowLastColumn="0" w:lastRowFirstColumn="0" w:lastRowLastColumn="0"/>
              <w:rPr>
                <w:rFonts w:cs="Arial"/>
                <w:sz w:val="16"/>
                <w:szCs w:val="16"/>
              </w:rPr>
            </w:pPr>
            <w:r w:rsidRPr="00B67E71">
              <w:rPr>
                <w:rFonts w:cs="Arial"/>
                <w:sz w:val="16"/>
                <w:szCs w:val="16"/>
              </w:rPr>
              <w:t xml:space="preserve">Analysis of NRTWS shows link between employer response questions and </w:t>
            </w:r>
            <w:r w:rsidRPr="005A6F2F">
              <w:rPr>
                <w:rFonts w:cs="Arial"/>
                <w:sz w:val="16"/>
                <w:szCs w:val="16"/>
              </w:rPr>
              <w:t>return to work</w:t>
            </w:r>
            <w:r w:rsidRPr="00B67E71">
              <w:rPr>
                <w:rFonts w:cs="Arial"/>
                <w:sz w:val="16"/>
                <w:szCs w:val="16"/>
              </w:rPr>
              <w:t xml:space="preserve"> outcomes. </w:t>
            </w:r>
          </w:p>
          <w:p w14:paraId="40303C35" w14:textId="77777777" w:rsidR="00AF3330" w:rsidRPr="00B67E71" w:rsidRDefault="00AF3330" w:rsidP="00AF3330">
            <w:pPr>
              <w:numPr>
                <w:ilvl w:val="0"/>
                <w:numId w:val="10"/>
              </w:numPr>
              <w:tabs>
                <w:tab w:val="left" w:pos="6691"/>
              </w:tabs>
              <w:spacing w:line="240" w:lineRule="auto"/>
              <w:ind w:left="316" w:hanging="284"/>
              <w:cnfStyle w:val="000000000000" w:firstRow="0" w:lastRow="0" w:firstColumn="0" w:lastColumn="0" w:oddVBand="0" w:evenVBand="0" w:oddHBand="0" w:evenHBand="0" w:firstRowFirstColumn="0" w:firstRowLastColumn="0" w:lastRowFirstColumn="0" w:lastRowLastColumn="0"/>
              <w:rPr>
                <w:rFonts w:cs="Arial"/>
                <w:sz w:val="16"/>
                <w:szCs w:val="16"/>
              </w:rPr>
            </w:pPr>
            <w:r w:rsidRPr="00B67E71">
              <w:rPr>
                <w:rFonts w:cs="Arial"/>
                <w:sz w:val="16"/>
                <w:szCs w:val="16"/>
              </w:rPr>
              <w:t xml:space="preserve">Historical trend data available in NRTWS from 2013. </w:t>
            </w:r>
          </w:p>
        </w:tc>
        <w:tc>
          <w:tcPr>
            <w:tcW w:w="993" w:type="dxa"/>
            <w:shd w:val="clear" w:color="auto" w:fill="FFFFFF" w:themeFill="background1"/>
            <w:vAlign w:val="center"/>
          </w:tcPr>
          <w:p w14:paraId="1582A495" w14:textId="77777777" w:rsidR="00AF3330" w:rsidRPr="00B67E71" w:rsidRDefault="00AF3330" w:rsidP="00BA6315">
            <w:pPr>
              <w:tabs>
                <w:tab w:val="left" w:pos="6691"/>
              </w:tabs>
              <w:spacing w:line="259" w:lineRule="auto"/>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B67E71">
              <w:rPr>
                <w:rFonts w:cs="Arial"/>
                <w:bCs/>
                <w:sz w:val="16"/>
                <w:szCs w:val="16"/>
              </w:rPr>
              <w:t>Increase</w:t>
            </w:r>
          </w:p>
        </w:tc>
        <w:tc>
          <w:tcPr>
            <w:tcW w:w="992" w:type="dxa"/>
            <w:shd w:val="clear" w:color="auto" w:fill="FFFFFF" w:themeFill="background1"/>
            <w:vAlign w:val="center"/>
          </w:tcPr>
          <w:p w14:paraId="4FF0AE1C" w14:textId="77777777" w:rsidR="00AF3330" w:rsidRPr="00B67E71" w:rsidRDefault="00AF3330" w:rsidP="00BA6315">
            <w:pPr>
              <w:tabs>
                <w:tab w:val="left" w:pos="6691"/>
              </w:tabs>
              <w:spacing w:line="259" w:lineRule="auto"/>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B67E71">
              <w:rPr>
                <w:rFonts w:cs="Arial"/>
                <w:bCs/>
                <w:sz w:val="16"/>
                <w:szCs w:val="16"/>
              </w:rPr>
              <w:t>Large</w:t>
            </w:r>
          </w:p>
        </w:tc>
      </w:tr>
      <w:tr w:rsidR="00AF3330" w:rsidRPr="00B67E71" w14:paraId="12F9A0CA" w14:textId="77777777" w:rsidTr="00D5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FFFFFF" w:themeFill="background1"/>
            <w:vAlign w:val="center"/>
          </w:tcPr>
          <w:p w14:paraId="42355391" w14:textId="77777777" w:rsidR="00AF3330" w:rsidRPr="005A6F2F" w:rsidRDefault="00AF3330" w:rsidP="00AF3330">
            <w:pPr>
              <w:tabs>
                <w:tab w:val="left" w:pos="6691"/>
              </w:tabs>
              <w:rPr>
                <w:rFonts w:eastAsia="Calibri" w:cs="Arial"/>
                <w:sz w:val="16"/>
                <w:szCs w:val="16"/>
              </w:rPr>
            </w:pPr>
            <w:r w:rsidRPr="005A6F2F">
              <w:rPr>
                <w:rFonts w:eastAsia="Calibri" w:cs="Arial"/>
                <w:sz w:val="16"/>
                <w:szCs w:val="16"/>
              </w:rPr>
              <w:t>Employer contact*</w:t>
            </w:r>
          </w:p>
        </w:tc>
        <w:tc>
          <w:tcPr>
            <w:tcW w:w="993" w:type="dxa"/>
            <w:shd w:val="clear" w:color="auto" w:fill="FFFFFF" w:themeFill="background1"/>
            <w:vAlign w:val="center"/>
          </w:tcPr>
          <w:p w14:paraId="12D3BFB7" w14:textId="77777777" w:rsidR="00AF3330" w:rsidRPr="00B67E71" w:rsidRDefault="00AF3330" w:rsidP="00AF3330">
            <w:pPr>
              <w:tabs>
                <w:tab w:val="left" w:pos="6691"/>
              </w:tabs>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r w:rsidRPr="00B67E71">
              <w:rPr>
                <w:rFonts w:eastAsia="Calibri" w:cs="Arial"/>
                <w:sz w:val="16"/>
                <w:szCs w:val="16"/>
              </w:rPr>
              <w:t>NRTWS</w:t>
            </w:r>
          </w:p>
        </w:tc>
        <w:tc>
          <w:tcPr>
            <w:tcW w:w="992" w:type="dxa"/>
            <w:shd w:val="clear" w:color="auto" w:fill="FFFFFF" w:themeFill="background1"/>
            <w:vAlign w:val="center"/>
          </w:tcPr>
          <w:p w14:paraId="606E8162" w14:textId="77777777" w:rsidR="00AF3330" w:rsidRPr="00B67E71" w:rsidRDefault="00AF3330" w:rsidP="00AF3330">
            <w:pPr>
              <w:tabs>
                <w:tab w:val="left" w:pos="6691"/>
              </w:tabs>
              <w:cnfStyle w:val="000000100000" w:firstRow="0" w:lastRow="0" w:firstColumn="0" w:lastColumn="0" w:oddVBand="0" w:evenVBand="0" w:oddHBand="1" w:evenHBand="0" w:firstRowFirstColumn="0" w:firstRowLastColumn="0" w:lastRowFirstColumn="0" w:lastRowLastColumn="0"/>
              <w:rPr>
                <w:rFonts w:cs="Arial"/>
                <w:sz w:val="16"/>
                <w:szCs w:val="16"/>
              </w:rPr>
            </w:pPr>
            <w:r w:rsidRPr="00B67E71">
              <w:rPr>
                <w:rFonts w:cs="Arial"/>
                <w:sz w:val="16"/>
                <w:szCs w:val="16"/>
              </w:rPr>
              <w:t>Employer</w:t>
            </w:r>
          </w:p>
        </w:tc>
        <w:tc>
          <w:tcPr>
            <w:tcW w:w="2835" w:type="dxa"/>
            <w:shd w:val="clear" w:color="auto" w:fill="FFFFFF" w:themeFill="background1"/>
            <w:vAlign w:val="center"/>
          </w:tcPr>
          <w:p w14:paraId="0A666565" w14:textId="77777777" w:rsidR="00AF3330" w:rsidRPr="00772F21" w:rsidRDefault="00AF3330" w:rsidP="00AF3330">
            <w:pPr>
              <w:suppressAutoHyphens/>
              <w:autoSpaceDE w:val="0"/>
              <w:autoSpaceDN w:val="0"/>
              <w:adjustRightInd w:val="0"/>
              <w:spacing w:line="240" w:lineRule="auto"/>
              <w:ind w:right="113"/>
              <w:textAlignment w:val="center"/>
              <w:cnfStyle w:val="000000100000" w:firstRow="0" w:lastRow="0" w:firstColumn="0" w:lastColumn="0" w:oddVBand="0" w:evenVBand="0" w:oddHBand="1" w:evenHBand="0" w:firstRowFirstColumn="0" w:firstRowLastColumn="0" w:lastRowFirstColumn="0" w:lastRowLastColumn="0"/>
              <w:rPr>
                <w:rFonts w:eastAsia="Calibri" w:cs="Arial"/>
                <w:bCs/>
                <w:sz w:val="16"/>
                <w:szCs w:val="16"/>
              </w:rPr>
            </w:pPr>
            <w:r w:rsidRPr="00772F21">
              <w:rPr>
                <w:rFonts w:eastAsia="Calibri" w:cs="Arial"/>
                <w:bCs/>
                <w:sz w:val="16"/>
                <w:szCs w:val="16"/>
              </w:rPr>
              <w:t>Percentage of all workers reporting contact from their employer since their injury</w:t>
            </w:r>
          </w:p>
        </w:tc>
        <w:tc>
          <w:tcPr>
            <w:tcW w:w="6520" w:type="dxa"/>
            <w:shd w:val="clear" w:color="auto" w:fill="FFFFFF" w:themeFill="background1"/>
            <w:vAlign w:val="center"/>
          </w:tcPr>
          <w:p w14:paraId="154C9089" w14:textId="77777777" w:rsidR="00AF3330" w:rsidRPr="00B67E71" w:rsidRDefault="00AF3330" w:rsidP="00AF3330">
            <w:pPr>
              <w:numPr>
                <w:ilvl w:val="0"/>
                <w:numId w:val="10"/>
              </w:numPr>
              <w:tabs>
                <w:tab w:val="left" w:pos="6691"/>
              </w:tabs>
              <w:spacing w:line="240" w:lineRule="auto"/>
              <w:ind w:left="316" w:hanging="284"/>
              <w:cnfStyle w:val="000000100000" w:firstRow="0" w:lastRow="0" w:firstColumn="0" w:lastColumn="0" w:oddVBand="0" w:evenVBand="0" w:oddHBand="1" w:evenHBand="0" w:firstRowFirstColumn="0" w:firstRowLastColumn="0" w:lastRowFirstColumn="0" w:lastRowLastColumn="0"/>
              <w:rPr>
                <w:rFonts w:cs="Arial"/>
                <w:sz w:val="16"/>
                <w:szCs w:val="16"/>
              </w:rPr>
            </w:pPr>
            <w:r w:rsidRPr="00B67E71">
              <w:rPr>
                <w:rFonts w:cs="Arial"/>
                <w:sz w:val="16"/>
                <w:szCs w:val="16"/>
              </w:rPr>
              <w:t>Employers maintain appropriate contact with workers throughout the return to work process</w:t>
            </w:r>
          </w:p>
        </w:tc>
        <w:tc>
          <w:tcPr>
            <w:tcW w:w="993" w:type="dxa"/>
            <w:shd w:val="clear" w:color="auto" w:fill="FFFFFF" w:themeFill="background1"/>
            <w:vAlign w:val="center"/>
          </w:tcPr>
          <w:p w14:paraId="35519E21" w14:textId="77777777" w:rsidR="00AF3330" w:rsidRPr="00B67E71" w:rsidRDefault="00AF3330" w:rsidP="00BA6315">
            <w:pPr>
              <w:tabs>
                <w:tab w:val="left" w:pos="6691"/>
              </w:tabs>
              <w:cnfStyle w:val="000000100000" w:firstRow="0" w:lastRow="0" w:firstColumn="0" w:lastColumn="0" w:oddVBand="0" w:evenVBand="0" w:oddHBand="1" w:evenHBand="0" w:firstRowFirstColumn="0" w:firstRowLastColumn="0" w:lastRowFirstColumn="0" w:lastRowLastColumn="0"/>
              <w:rPr>
                <w:rFonts w:cs="Arial"/>
                <w:sz w:val="16"/>
                <w:szCs w:val="16"/>
                <w:highlight w:val="yellow"/>
              </w:rPr>
            </w:pPr>
            <w:r w:rsidRPr="00B67E71">
              <w:rPr>
                <w:rFonts w:cs="Arial"/>
                <w:bCs/>
                <w:sz w:val="16"/>
                <w:szCs w:val="16"/>
              </w:rPr>
              <w:t>Increase</w:t>
            </w:r>
          </w:p>
        </w:tc>
        <w:tc>
          <w:tcPr>
            <w:tcW w:w="992" w:type="dxa"/>
            <w:shd w:val="clear" w:color="auto" w:fill="FFFFFF" w:themeFill="background1"/>
            <w:vAlign w:val="center"/>
          </w:tcPr>
          <w:p w14:paraId="172C20F9" w14:textId="77777777" w:rsidR="00AF3330" w:rsidRPr="00B67E71" w:rsidRDefault="00AF3330" w:rsidP="00BA6315">
            <w:pPr>
              <w:tabs>
                <w:tab w:val="left" w:pos="6691"/>
              </w:tabs>
              <w:cnfStyle w:val="000000100000" w:firstRow="0" w:lastRow="0" w:firstColumn="0" w:lastColumn="0" w:oddVBand="0" w:evenVBand="0" w:oddHBand="1" w:evenHBand="0" w:firstRowFirstColumn="0" w:firstRowLastColumn="0" w:lastRowFirstColumn="0" w:lastRowLastColumn="0"/>
              <w:rPr>
                <w:rFonts w:cs="Arial"/>
                <w:sz w:val="16"/>
                <w:szCs w:val="16"/>
                <w:highlight w:val="yellow"/>
              </w:rPr>
            </w:pPr>
            <w:r w:rsidRPr="00B67E71">
              <w:rPr>
                <w:rFonts w:cs="Arial"/>
                <w:bCs/>
                <w:sz w:val="16"/>
                <w:szCs w:val="16"/>
              </w:rPr>
              <w:t>Large</w:t>
            </w:r>
          </w:p>
        </w:tc>
      </w:tr>
      <w:tr w:rsidR="00AF3330" w:rsidRPr="00B67E71" w14:paraId="55949B31" w14:textId="77777777" w:rsidTr="00D553DC">
        <w:tc>
          <w:tcPr>
            <w:tcW w:w="1701" w:type="dxa"/>
            <w:shd w:val="clear" w:color="auto" w:fill="FFFFFF" w:themeFill="background1"/>
            <w:vAlign w:val="center"/>
          </w:tcPr>
          <w:p w14:paraId="0D9A1EEE" w14:textId="77777777" w:rsidR="00AF3330" w:rsidRPr="005A6F2F" w:rsidRDefault="00AF3330" w:rsidP="00AF3330">
            <w:pPr>
              <w:tabs>
                <w:tab w:val="left" w:pos="6691"/>
              </w:tabs>
              <w:cnfStyle w:val="001000000000" w:firstRow="0" w:lastRow="0" w:firstColumn="1" w:lastColumn="0" w:oddVBand="0" w:evenVBand="0" w:oddHBand="0" w:evenHBand="0" w:firstRowFirstColumn="0" w:firstRowLastColumn="0" w:lastRowFirstColumn="0" w:lastRowLastColumn="0"/>
              <w:rPr>
                <w:rFonts w:eastAsia="Calibri" w:cs="Arial"/>
                <w:sz w:val="16"/>
                <w:szCs w:val="16"/>
              </w:rPr>
            </w:pPr>
            <w:r w:rsidRPr="005A6F2F">
              <w:rPr>
                <w:rFonts w:eastAsia="Calibri" w:cs="Arial"/>
                <w:sz w:val="16"/>
                <w:szCs w:val="16"/>
              </w:rPr>
              <w:t>Return to work planning*</w:t>
            </w:r>
          </w:p>
        </w:tc>
        <w:tc>
          <w:tcPr>
            <w:tcW w:w="993" w:type="dxa"/>
            <w:shd w:val="clear" w:color="auto" w:fill="FFFFFF" w:themeFill="background1"/>
            <w:vAlign w:val="center"/>
          </w:tcPr>
          <w:p w14:paraId="6CA1571E" w14:textId="77777777" w:rsidR="00AF3330" w:rsidRPr="00B67E71" w:rsidRDefault="00AF3330" w:rsidP="00AF3330">
            <w:pPr>
              <w:tabs>
                <w:tab w:val="left" w:pos="6691"/>
              </w:tabs>
              <w:rPr>
                <w:rFonts w:eastAsia="Calibri" w:cs="Arial"/>
                <w:sz w:val="16"/>
                <w:szCs w:val="16"/>
              </w:rPr>
            </w:pPr>
            <w:r w:rsidRPr="00B67E71">
              <w:rPr>
                <w:rFonts w:eastAsia="Calibri" w:cs="Arial"/>
                <w:sz w:val="16"/>
                <w:szCs w:val="16"/>
              </w:rPr>
              <w:t>NRTWS</w:t>
            </w:r>
          </w:p>
        </w:tc>
        <w:tc>
          <w:tcPr>
            <w:tcW w:w="992" w:type="dxa"/>
            <w:shd w:val="clear" w:color="auto" w:fill="FFFFFF" w:themeFill="background1"/>
            <w:vAlign w:val="center"/>
          </w:tcPr>
          <w:p w14:paraId="0497FEC2" w14:textId="77777777" w:rsidR="00AF3330" w:rsidRPr="00B67E71" w:rsidRDefault="00AF3330" w:rsidP="00AF3330">
            <w:pPr>
              <w:tabs>
                <w:tab w:val="left" w:pos="6691"/>
              </w:tabs>
              <w:rPr>
                <w:rFonts w:eastAsia="Calibri" w:cs="Arial"/>
                <w:sz w:val="16"/>
                <w:szCs w:val="16"/>
              </w:rPr>
            </w:pPr>
            <w:r w:rsidRPr="00B67E71">
              <w:rPr>
                <w:rFonts w:eastAsia="Calibri" w:cs="Arial"/>
                <w:sz w:val="16"/>
                <w:szCs w:val="16"/>
              </w:rPr>
              <w:t>Employer</w:t>
            </w:r>
          </w:p>
        </w:tc>
        <w:tc>
          <w:tcPr>
            <w:tcW w:w="2835" w:type="dxa"/>
            <w:shd w:val="clear" w:color="auto" w:fill="FFFFFF" w:themeFill="background1"/>
            <w:vAlign w:val="center"/>
          </w:tcPr>
          <w:p w14:paraId="5614F878" w14:textId="24DDE28F" w:rsidR="00AF3330" w:rsidRPr="00772F21" w:rsidRDefault="00AF3330" w:rsidP="00AF3330">
            <w:pPr>
              <w:suppressAutoHyphens/>
              <w:autoSpaceDE w:val="0"/>
              <w:autoSpaceDN w:val="0"/>
              <w:adjustRightInd w:val="0"/>
              <w:spacing w:line="240" w:lineRule="auto"/>
              <w:ind w:right="113"/>
              <w:textAlignment w:val="center"/>
              <w:rPr>
                <w:rFonts w:eastAsia="Calibri" w:cs="Arial"/>
                <w:bCs/>
                <w:sz w:val="16"/>
                <w:szCs w:val="16"/>
              </w:rPr>
            </w:pPr>
            <w:r w:rsidRPr="00772F21">
              <w:rPr>
                <w:rFonts w:eastAsia="Calibri" w:cs="Arial"/>
                <w:bCs/>
                <w:sz w:val="16"/>
                <w:szCs w:val="16"/>
              </w:rPr>
              <w:t xml:space="preserve">Percentage of workers </w:t>
            </w:r>
            <w:bookmarkStart w:id="2" w:name="_GoBack"/>
            <w:bookmarkEnd w:id="2"/>
            <w:r w:rsidRPr="00772F21">
              <w:rPr>
                <w:rFonts w:eastAsia="Calibri" w:cs="Arial"/>
                <w:bCs/>
                <w:sz w:val="16"/>
                <w:szCs w:val="16"/>
              </w:rPr>
              <w:t>reporting that they had a return to work plan</w:t>
            </w:r>
          </w:p>
        </w:tc>
        <w:tc>
          <w:tcPr>
            <w:tcW w:w="6520" w:type="dxa"/>
            <w:shd w:val="clear" w:color="auto" w:fill="FFFFFF" w:themeFill="background1"/>
            <w:vAlign w:val="center"/>
          </w:tcPr>
          <w:p w14:paraId="7D8D02EF" w14:textId="77777777" w:rsidR="00AF3330" w:rsidRPr="00B67E71" w:rsidRDefault="00AF3330" w:rsidP="00AF3330">
            <w:pPr>
              <w:numPr>
                <w:ilvl w:val="0"/>
                <w:numId w:val="10"/>
              </w:numPr>
              <w:tabs>
                <w:tab w:val="left" w:pos="6691"/>
              </w:tabs>
              <w:spacing w:line="240" w:lineRule="auto"/>
              <w:ind w:left="316" w:hanging="284"/>
              <w:rPr>
                <w:rFonts w:cs="Arial"/>
                <w:sz w:val="16"/>
                <w:szCs w:val="16"/>
              </w:rPr>
            </w:pPr>
            <w:r>
              <w:rPr>
                <w:rFonts w:cs="Arial"/>
                <w:sz w:val="16"/>
                <w:szCs w:val="16"/>
              </w:rPr>
              <w:t>R</w:t>
            </w:r>
            <w:r w:rsidRPr="005A6F2F">
              <w:rPr>
                <w:rFonts w:cs="Arial"/>
                <w:sz w:val="16"/>
                <w:szCs w:val="16"/>
              </w:rPr>
              <w:t xml:space="preserve">eturn to work </w:t>
            </w:r>
            <w:r w:rsidRPr="00B67E71">
              <w:rPr>
                <w:rFonts w:cs="Arial"/>
                <w:sz w:val="16"/>
                <w:szCs w:val="16"/>
              </w:rPr>
              <w:t xml:space="preserve">planning is an accepted good practice in all jurisdictions. </w:t>
            </w:r>
          </w:p>
          <w:p w14:paraId="25B687E2" w14:textId="77777777" w:rsidR="00AF3330" w:rsidRPr="00B67E71" w:rsidRDefault="00AF3330" w:rsidP="00AF3330">
            <w:pPr>
              <w:numPr>
                <w:ilvl w:val="0"/>
                <w:numId w:val="10"/>
              </w:numPr>
              <w:tabs>
                <w:tab w:val="left" w:pos="6691"/>
              </w:tabs>
              <w:spacing w:line="240" w:lineRule="auto"/>
              <w:ind w:left="316" w:hanging="284"/>
              <w:rPr>
                <w:rFonts w:cs="Arial"/>
                <w:sz w:val="16"/>
                <w:szCs w:val="16"/>
              </w:rPr>
            </w:pPr>
            <w:r w:rsidRPr="00B67E71">
              <w:rPr>
                <w:rFonts w:cs="Arial"/>
                <w:sz w:val="16"/>
                <w:szCs w:val="16"/>
              </w:rPr>
              <w:t xml:space="preserve">Evidence shows </w:t>
            </w:r>
            <w:r w:rsidRPr="005A6F2F">
              <w:rPr>
                <w:rFonts w:cs="Arial"/>
                <w:sz w:val="16"/>
                <w:szCs w:val="16"/>
              </w:rPr>
              <w:t>return to work</w:t>
            </w:r>
            <w:r w:rsidRPr="00B67E71">
              <w:rPr>
                <w:rFonts w:cs="Arial"/>
                <w:sz w:val="16"/>
                <w:szCs w:val="16"/>
              </w:rPr>
              <w:t xml:space="preserve"> plans influence duration of time off work. </w:t>
            </w:r>
          </w:p>
          <w:p w14:paraId="6687A2B8" w14:textId="77777777" w:rsidR="00AF3330" w:rsidRPr="00B67E71" w:rsidRDefault="00AF3330" w:rsidP="00AF3330">
            <w:pPr>
              <w:numPr>
                <w:ilvl w:val="0"/>
                <w:numId w:val="10"/>
              </w:numPr>
              <w:tabs>
                <w:tab w:val="left" w:pos="6691"/>
              </w:tabs>
              <w:spacing w:line="240" w:lineRule="auto"/>
              <w:ind w:left="316" w:hanging="284"/>
              <w:rPr>
                <w:rFonts w:cs="Arial"/>
                <w:sz w:val="16"/>
                <w:szCs w:val="16"/>
              </w:rPr>
            </w:pPr>
            <w:r w:rsidRPr="00B67E71">
              <w:rPr>
                <w:rFonts w:cs="Arial"/>
                <w:sz w:val="16"/>
                <w:szCs w:val="16"/>
              </w:rPr>
              <w:t>Historical trend data available in NRTWS from 2013.</w:t>
            </w:r>
          </w:p>
        </w:tc>
        <w:tc>
          <w:tcPr>
            <w:tcW w:w="993" w:type="dxa"/>
            <w:shd w:val="clear" w:color="auto" w:fill="FFFFFF" w:themeFill="background1"/>
            <w:vAlign w:val="center"/>
          </w:tcPr>
          <w:p w14:paraId="7C7A60D4" w14:textId="77777777" w:rsidR="00AF3330" w:rsidRPr="00B67E71" w:rsidRDefault="00AF3330" w:rsidP="00BA6315">
            <w:pPr>
              <w:tabs>
                <w:tab w:val="left" w:pos="6691"/>
              </w:tabs>
              <w:spacing w:line="259" w:lineRule="auto"/>
              <w:rPr>
                <w:rFonts w:cs="Arial"/>
                <w:bCs/>
                <w:sz w:val="16"/>
                <w:szCs w:val="16"/>
              </w:rPr>
            </w:pPr>
            <w:r w:rsidRPr="00B67E71">
              <w:rPr>
                <w:rFonts w:cs="Arial"/>
                <w:bCs/>
                <w:sz w:val="16"/>
                <w:szCs w:val="16"/>
              </w:rPr>
              <w:t>Increase</w:t>
            </w:r>
          </w:p>
        </w:tc>
        <w:tc>
          <w:tcPr>
            <w:tcW w:w="992" w:type="dxa"/>
            <w:shd w:val="clear" w:color="auto" w:fill="FFFFFF" w:themeFill="background1"/>
            <w:vAlign w:val="center"/>
          </w:tcPr>
          <w:p w14:paraId="7DE1AC1C" w14:textId="77777777" w:rsidR="00AF3330" w:rsidRPr="00B67E71" w:rsidRDefault="00AF3330" w:rsidP="00BA6315">
            <w:pPr>
              <w:tabs>
                <w:tab w:val="left" w:pos="6691"/>
              </w:tabs>
              <w:spacing w:line="259" w:lineRule="auto"/>
              <w:rPr>
                <w:rFonts w:cs="Arial"/>
                <w:bCs/>
                <w:sz w:val="16"/>
                <w:szCs w:val="16"/>
              </w:rPr>
            </w:pPr>
            <w:r w:rsidRPr="00B67E71">
              <w:rPr>
                <w:rFonts w:cs="Arial"/>
                <w:bCs/>
                <w:sz w:val="16"/>
                <w:szCs w:val="16"/>
              </w:rPr>
              <w:t>Large</w:t>
            </w:r>
          </w:p>
        </w:tc>
      </w:tr>
      <w:tr w:rsidR="00AF3330" w:rsidRPr="00B67E71" w14:paraId="6A57288C" w14:textId="77777777" w:rsidTr="00D5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FFFFFF" w:themeFill="background1"/>
            <w:vAlign w:val="center"/>
          </w:tcPr>
          <w:p w14:paraId="41128BBB" w14:textId="77777777" w:rsidR="00AF3330" w:rsidRPr="005A6F2F" w:rsidRDefault="00AF3330" w:rsidP="00AF3330">
            <w:pPr>
              <w:tabs>
                <w:tab w:val="left" w:pos="6691"/>
              </w:tabs>
              <w:rPr>
                <w:rFonts w:eastAsia="Calibri" w:cs="Arial"/>
                <w:sz w:val="16"/>
                <w:szCs w:val="16"/>
              </w:rPr>
            </w:pPr>
            <w:r w:rsidRPr="005A6F2F">
              <w:rPr>
                <w:rFonts w:eastAsia="Calibri" w:cs="Arial"/>
                <w:sz w:val="16"/>
                <w:szCs w:val="16"/>
              </w:rPr>
              <w:t>Workplace accommodations*</w:t>
            </w:r>
          </w:p>
        </w:tc>
        <w:tc>
          <w:tcPr>
            <w:tcW w:w="993" w:type="dxa"/>
            <w:shd w:val="clear" w:color="auto" w:fill="FFFFFF" w:themeFill="background1"/>
            <w:vAlign w:val="center"/>
          </w:tcPr>
          <w:p w14:paraId="7F87521B" w14:textId="77777777" w:rsidR="00AF3330" w:rsidRPr="00B67E71" w:rsidRDefault="00AF3330" w:rsidP="00AF3330">
            <w:pPr>
              <w:tabs>
                <w:tab w:val="left" w:pos="6691"/>
              </w:tabs>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r w:rsidRPr="00B67E71">
              <w:rPr>
                <w:rFonts w:eastAsia="Calibri" w:cs="Arial"/>
                <w:sz w:val="16"/>
                <w:szCs w:val="16"/>
              </w:rPr>
              <w:t>NRTWS</w:t>
            </w:r>
          </w:p>
        </w:tc>
        <w:tc>
          <w:tcPr>
            <w:tcW w:w="992" w:type="dxa"/>
            <w:shd w:val="clear" w:color="auto" w:fill="FFFFFF" w:themeFill="background1"/>
            <w:vAlign w:val="center"/>
          </w:tcPr>
          <w:p w14:paraId="0565D976" w14:textId="77777777" w:rsidR="00AF3330" w:rsidRPr="00B67E71" w:rsidRDefault="00AF3330" w:rsidP="00AF3330">
            <w:pPr>
              <w:tabs>
                <w:tab w:val="left" w:pos="6691"/>
              </w:tabs>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r w:rsidRPr="00B67E71">
              <w:rPr>
                <w:rFonts w:eastAsia="Calibri" w:cs="Arial"/>
                <w:sz w:val="16"/>
                <w:szCs w:val="16"/>
              </w:rPr>
              <w:t>Employer</w:t>
            </w:r>
          </w:p>
        </w:tc>
        <w:tc>
          <w:tcPr>
            <w:tcW w:w="2835" w:type="dxa"/>
            <w:shd w:val="clear" w:color="auto" w:fill="FFFFFF" w:themeFill="background1"/>
            <w:vAlign w:val="center"/>
          </w:tcPr>
          <w:p w14:paraId="2F543CE4" w14:textId="77777777" w:rsidR="00AF3330" w:rsidRPr="00772F21" w:rsidRDefault="00AF3330" w:rsidP="00AF3330">
            <w:pPr>
              <w:suppressAutoHyphens/>
              <w:autoSpaceDE w:val="0"/>
              <w:autoSpaceDN w:val="0"/>
              <w:adjustRightInd w:val="0"/>
              <w:spacing w:line="240" w:lineRule="auto"/>
              <w:ind w:right="113"/>
              <w:textAlignment w:val="center"/>
              <w:cnfStyle w:val="000000100000" w:firstRow="0" w:lastRow="0" w:firstColumn="0" w:lastColumn="0" w:oddVBand="0" w:evenVBand="0" w:oddHBand="1" w:evenHBand="0" w:firstRowFirstColumn="0" w:firstRowLastColumn="0" w:lastRowFirstColumn="0" w:lastRowLastColumn="0"/>
              <w:rPr>
                <w:rFonts w:eastAsia="Calibri" w:cs="Arial"/>
                <w:bCs/>
                <w:sz w:val="16"/>
                <w:szCs w:val="16"/>
              </w:rPr>
            </w:pPr>
            <w:r w:rsidRPr="00772F21">
              <w:rPr>
                <w:rFonts w:eastAsia="Calibri" w:cs="Arial"/>
                <w:bCs/>
                <w:sz w:val="16"/>
                <w:szCs w:val="16"/>
              </w:rPr>
              <w:t xml:space="preserve">Percentage of workers who had returned to work reporting that they </w:t>
            </w:r>
            <w:r w:rsidRPr="00772F21">
              <w:rPr>
                <w:rFonts w:eastAsia="Calibri" w:cs="Arial"/>
                <w:bCs/>
                <w:sz w:val="16"/>
                <w:szCs w:val="16"/>
              </w:rPr>
              <w:lastRenderedPageBreak/>
              <w:t>returned with modified hours or modified duties</w:t>
            </w:r>
          </w:p>
        </w:tc>
        <w:tc>
          <w:tcPr>
            <w:tcW w:w="6520" w:type="dxa"/>
            <w:shd w:val="clear" w:color="auto" w:fill="FFFFFF" w:themeFill="background1"/>
            <w:vAlign w:val="center"/>
          </w:tcPr>
          <w:p w14:paraId="4DB0B312" w14:textId="77777777" w:rsidR="00AF3330" w:rsidRPr="00B67E71" w:rsidRDefault="00AF3330" w:rsidP="00AF3330">
            <w:pPr>
              <w:numPr>
                <w:ilvl w:val="0"/>
                <w:numId w:val="10"/>
              </w:numPr>
              <w:tabs>
                <w:tab w:val="left" w:pos="6691"/>
              </w:tabs>
              <w:spacing w:line="240" w:lineRule="auto"/>
              <w:ind w:left="316" w:hanging="284"/>
              <w:cnfStyle w:val="000000100000" w:firstRow="0" w:lastRow="0" w:firstColumn="0" w:lastColumn="0" w:oddVBand="0" w:evenVBand="0" w:oddHBand="1" w:evenHBand="0" w:firstRowFirstColumn="0" w:firstRowLastColumn="0" w:lastRowFirstColumn="0" w:lastRowLastColumn="0"/>
              <w:rPr>
                <w:rFonts w:cs="Arial"/>
                <w:sz w:val="16"/>
                <w:szCs w:val="16"/>
              </w:rPr>
            </w:pPr>
            <w:r w:rsidRPr="00B67E71">
              <w:rPr>
                <w:rFonts w:cs="Arial"/>
                <w:sz w:val="16"/>
                <w:szCs w:val="16"/>
              </w:rPr>
              <w:lastRenderedPageBreak/>
              <w:t xml:space="preserve">Workplace accommodations are a powerful </w:t>
            </w:r>
            <w:r w:rsidRPr="005A6F2F">
              <w:rPr>
                <w:rFonts w:cs="Arial"/>
                <w:sz w:val="16"/>
                <w:szCs w:val="16"/>
              </w:rPr>
              <w:t>return to work</w:t>
            </w:r>
            <w:r w:rsidRPr="00B67E71">
              <w:rPr>
                <w:rFonts w:cs="Arial"/>
                <w:sz w:val="16"/>
                <w:szCs w:val="16"/>
              </w:rPr>
              <w:t xml:space="preserve"> intervention. </w:t>
            </w:r>
          </w:p>
          <w:p w14:paraId="0ED294E1" w14:textId="77777777" w:rsidR="00AF3330" w:rsidRPr="00B67E71" w:rsidRDefault="00AF3330" w:rsidP="00AF3330">
            <w:pPr>
              <w:numPr>
                <w:ilvl w:val="0"/>
                <w:numId w:val="10"/>
              </w:numPr>
              <w:tabs>
                <w:tab w:val="left" w:pos="6691"/>
              </w:tabs>
              <w:spacing w:line="240" w:lineRule="auto"/>
              <w:ind w:left="316" w:hanging="284"/>
              <w:cnfStyle w:val="000000100000" w:firstRow="0" w:lastRow="0" w:firstColumn="0" w:lastColumn="0" w:oddVBand="0" w:evenVBand="0" w:oddHBand="1" w:evenHBand="0" w:firstRowFirstColumn="0" w:firstRowLastColumn="0" w:lastRowFirstColumn="0" w:lastRowLastColumn="0"/>
              <w:rPr>
                <w:rFonts w:cs="Arial"/>
                <w:sz w:val="16"/>
                <w:szCs w:val="16"/>
              </w:rPr>
            </w:pPr>
            <w:r w:rsidRPr="00B67E71">
              <w:rPr>
                <w:rFonts w:cs="Arial"/>
                <w:sz w:val="16"/>
                <w:szCs w:val="16"/>
              </w:rPr>
              <w:t>Baseline data available from 2018 NRTWS.</w:t>
            </w:r>
          </w:p>
        </w:tc>
        <w:tc>
          <w:tcPr>
            <w:tcW w:w="993" w:type="dxa"/>
            <w:shd w:val="clear" w:color="auto" w:fill="FFFFFF" w:themeFill="background1"/>
            <w:vAlign w:val="center"/>
          </w:tcPr>
          <w:p w14:paraId="3FA63F53" w14:textId="77777777" w:rsidR="00AF3330" w:rsidRPr="00B67E71" w:rsidRDefault="00AF3330" w:rsidP="00BA6315">
            <w:pPr>
              <w:tabs>
                <w:tab w:val="left" w:pos="6691"/>
              </w:tabs>
              <w:spacing w:line="259" w:lineRule="auto"/>
              <w:cnfStyle w:val="000000100000" w:firstRow="0" w:lastRow="0" w:firstColumn="0" w:lastColumn="0" w:oddVBand="0" w:evenVBand="0" w:oddHBand="1" w:evenHBand="0" w:firstRowFirstColumn="0" w:firstRowLastColumn="0" w:lastRowFirstColumn="0" w:lastRowLastColumn="0"/>
              <w:rPr>
                <w:rFonts w:cs="Arial"/>
                <w:bCs/>
                <w:sz w:val="16"/>
                <w:szCs w:val="16"/>
              </w:rPr>
            </w:pPr>
            <w:r w:rsidRPr="00B67E71">
              <w:rPr>
                <w:rFonts w:cs="Arial"/>
                <w:bCs/>
                <w:sz w:val="16"/>
                <w:szCs w:val="16"/>
              </w:rPr>
              <w:t>Increase</w:t>
            </w:r>
          </w:p>
        </w:tc>
        <w:tc>
          <w:tcPr>
            <w:tcW w:w="992" w:type="dxa"/>
            <w:shd w:val="clear" w:color="auto" w:fill="FFFFFF" w:themeFill="background1"/>
            <w:vAlign w:val="center"/>
          </w:tcPr>
          <w:p w14:paraId="67D826D8" w14:textId="77777777" w:rsidR="00AF3330" w:rsidRPr="00B67E71" w:rsidRDefault="00AF3330" w:rsidP="00BA6315">
            <w:pPr>
              <w:tabs>
                <w:tab w:val="left" w:pos="6691"/>
              </w:tabs>
              <w:spacing w:line="259" w:lineRule="auto"/>
              <w:cnfStyle w:val="000000100000" w:firstRow="0" w:lastRow="0" w:firstColumn="0" w:lastColumn="0" w:oddVBand="0" w:evenVBand="0" w:oddHBand="1" w:evenHBand="0" w:firstRowFirstColumn="0" w:firstRowLastColumn="0" w:lastRowFirstColumn="0" w:lastRowLastColumn="0"/>
              <w:rPr>
                <w:rFonts w:cs="Arial"/>
                <w:bCs/>
                <w:sz w:val="16"/>
                <w:szCs w:val="16"/>
              </w:rPr>
            </w:pPr>
            <w:r w:rsidRPr="00B67E71">
              <w:rPr>
                <w:rFonts w:cs="Arial"/>
                <w:bCs/>
                <w:sz w:val="16"/>
                <w:szCs w:val="16"/>
              </w:rPr>
              <w:t>Moderate to Large</w:t>
            </w:r>
          </w:p>
        </w:tc>
      </w:tr>
      <w:tr w:rsidR="00AF3330" w:rsidRPr="00B67E71" w14:paraId="47E3C21F" w14:textId="77777777" w:rsidTr="00D553DC">
        <w:trPr>
          <w:trHeight w:val="692"/>
        </w:trPr>
        <w:tc>
          <w:tcPr>
            <w:cnfStyle w:val="001000000000" w:firstRow="0" w:lastRow="0" w:firstColumn="1" w:lastColumn="0" w:oddVBand="0" w:evenVBand="0" w:oddHBand="0" w:evenHBand="0" w:firstRowFirstColumn="0" w:firstRowLastColumn="0" w:lastRowFirstColumn="0" w:lastRowLastColumn="0"/>
            <w:tcW w:w="1701" w:type="dxa"/>
            <w:shd w:val="clear" w:color="auto" w:fill="FFFFFF" w:themeFill="background1"/>
            <w:vAlign w:val="center"/>
          </w:tcPr>
          <w:p w14:paraId="2CBB7B45" w14:textId="77777777" w:rsidR="00AF3330" w:rsidRPr="005A6F2F" w:rsidRDefault="00AF3330" w:rsidP="00AF3330">
            <w:pPr>
              <w:tabs>
                <w:tab w:val="left" w:pos="6691"/>
              </w:tabs>
              <w:rPr>
                <w:rFonts w:eastAsia="Calibri" w:cs="Arial"/>
                <w:sz w:val="16"/>
                <w:szCs w:val="16"/>
              </w:rPr>
            </w:pPr>
            <w:r w:rsidRPr="005A6F2F">
              <w:rPr>
                <w:rFonts w:eastAsia="Calibri" w:cs="Arial"/>
                <w:sz w:val="16"/>
                <w:szCs w:val="16"/>
              </w:rPr>
              <w:t>Return to work self-efficacy</w:t>
            </w:r>
          </w:p>
        </w:tc>
        <w:tc>
          <w:tcPr>
            <w:tcW w:w="993" w:type="dxa"/>
            <w:shd w:val="clear" w:color="auto" w:fill="FFFFFF" w:themeFill="background1"/>
            <w:vAlign w:val="center"/>
          </w:tcPr>
          <w:p w14:paraId="2F74DBF0" w14:textId="77777777" w:rsidR="00AF3330" w:rsidRPr="00B67E71" w:rsidRDefault="00AF3330" w:rsidP="00AF3330">
            <w:pPr>
              <w:tabs>
                <w:tab w:val="left" w:pos="6691"/>
              </w:tabs>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B67E71">
              <w:rPr>
                <w:rFonts w:eastAsia="Calibri" w:cs="Arial"/>
                <w:sz w:val="16"/>
                <w:szCs w:val="16"/>
              </w:rPr>
              <w:t>NRTWS</w:t>
            </w:r>
          </w:p>
        </w:tc>
        <w:tc>
          <w:tcPr>
            <w:tcW w:w="992" w:type="dxa"/>
            <w:shd w:val="clear" w:color="auto" w:fill="FFFFFF" w:themeFill="background1"/>
            <w:vAlign w:val="center"/>
          </w:tcPr>
          <w:p w14:paraId="31263FCF" w14:textId="77777777" w:rsidR="00AF3330" w:rsidRPr="00B67E71" w:rsidRDefault="00AF3330" w:rsidP="00AF3330">
            <w:pPr>
              <w:tabs>
                <w:tab w:val="left" w:pos="6691"/>
              </w:tabs>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r w:rsidRPr="00B67E71">
              <w:rPr>
                <w:rFonts w:eastAsia="Calibri" w:cs="Arial"/>
                <w:sz w:val="16"/>
                <w:szCs w:val="16"/>
              </w:rPr>
              <w:t>Worker</w:t>
            </w:r>
          </w:p>
        </w:tc>
        <w:tc>
          <w:tcPr>
            <w:tcW w:w="2835" w:type="dxa"/>
            <w:shd w:val="clear" w:color="auto" w:fill="FFFFFF" w:themeFill="background1"/>
            <w:vAlign w:val="center"/>
          </w:tcPr>
          <w:p w14:paraId="236AB5D4" w14:textId="77777777" w:rsidR="00AF3330" w:rsidRPr="00772F21" w:rsidRDefault="00AF3330" w:rsidP="00AF3330">
            <w:pPr>
              <w:suppressAutoHyphens/>
              <w:autoSpaceDE w:val="0"/>
              <w:autoSpaceDN w:val="0"/>
              <w:adjustRightInd w:val="0"/>
              <w:spacing w:line="240" w:lineRule="auto"/>
              <w:ind w:right="113"/>
              <w:textAlignment w:val="center"/>
              <w:cnfStyle w:val="000000000000" w:firstRow="0" w:lastRow="0" w:firstColumn="0" w:lastColumn="0" w:oddVBand="0" w:evenVBand="0" w:oddHBand="0" w:evenHBand="0" w:firstRowFirstColumn="0" w:firstRowLastColumn="0" w:lastRowFirstColumn="0" w:lastRowLastColumn="0"/>
              <w:rPr>
                <w:rFonts w:eastAsia="Calibri" w:cs="Arial"/>
                <w:bCs/>
                <w:sz w:val="16"/>
                <w:szCs w:val="16"/>
              </w:rPr>
            </w:pPr>
            <w:r w:rsidRPr="00772F21">
              <w:rPr>
                <w:rFonts w:eastAsia="Calibri" w:cs="Arial"/>
                <w:bCs/>
                <w:sz w:val="16"/>
                <w:szCs w:val="16"/>
              </w:rPr>
              <w:t>Average score of all workers on the return to work self-efficacy scale</w:t>
            </w:r>
          </w:p>
        </w:tc>
        <w:tc>
          <w:tcPr>
            <w:tcW w:w="6520" w:type="dxa"/>
            <w:shd w:val="clear" w:color="auto" w:fill="FFFFFF" w:themeFill="background1"/>
            <w:vAlign w:val="center"/>
          </w:tcPr>
          <w:p w14:paraId="4FCE4062" w14:textId="0A64EC53" w:rsidR="00AF3330" w:rsidRPr="00B67E71" w:rsidRDefault="00AF3330" w:rsidP="00AF3330">
            <w:pPr>
              <w:numPr>
                <w:ilvl w:val="0"/>
                <w:numId w:val="10"/>
              </w:numPr>
              <w:tabs>
                <w:tab w:val="left" w:pos="6691"/>
              </w:tabs>
              <w:spacing w:line="240" w:lineRule="auto"/>
              <w:ind w:left="316" w:hanging="284"/>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R</w:t>
            </w:r>
            <w:r w:rsidRPr="005A6F2F">
              <w:rPr>
                <w:rFonts w:cs="Arial"/>
                <w:sz w:val="16"/>
                <w:szCs w:val="16"/>
              </w:rPr>
              <w:t>eturn to work</w:t>
            </w:r>
            <w:r w:rsidRPr="00B67E71">
              <w:rPr>
                <w:rFonts w:cs="Arial"/>
                <w:sz w:val="16"/>
                <w:szCs w:val="16"/>
              </w:rPr>
              <w:t xml:space="preserve"> self-efficacy is a predictor of </w:t>
            </w:r>
            <w:r w:rsidR="004554FA">
              <w:rPr>
                <w:rFonts w:cs="Arial"/>
                <w:sz w:val="16"/>
                <w:szCs w:val="16"/>
              </w:rPr>
              <w:t>return to work</w:t>
            </w:r>
            <w:r w:rsidRPr="00B67E71">
              <w:rPr>
                <w:rFonts w:cs="Arial"/>
                <w:sz w:val="16"/>
                <w:szCs w:val="16"/>
              </w:rPr>
              <w:t>.</w:t>
            </w:r>
          </w:p>
          <w:p w14:paraId="3688DC8C" w14:textId="77777777" w:rsidR="00AF3330" w:rsidRPr="00B67E71" w:rsidRDefault="00AF3330" w:rsidP="00AF3330">
            <w:pPr>
              <w:numPr>
                <w:ilvl w:val="0"/>
                <w:numId w:val="10"/>
              </w:numPr>
              <w:tabs>
                <w:tab w:val="left" w:pos="6691"/>
              </w:tabs>
              <w:spacing w:line="240" w:lineRule="auto"/>
              <w:ind w:left="316" w:hanging="284"/>
              <w:cnfStyle w:val="000000000000" w:firstRow="0" w:lastRow="0" w:firstColumn="0" w:lastColumn="0" w:oddVBand="0" w:evenVBand="0" w:oddHBand="0" w:evenHBand="0" w:firstRowFirstColumn="0" w:firstRowLastColumn="0" w:lastRowFirstColumn="0" w:lastRowLastColumn="0"/>
              <w:rPr>
                <w:rFonts w:cs="Arial"/>
                <w:sz w:val="16"/>
                <w:szCs w:val="16"/>
              </w:rPr>
            </w:pPr>
            <w:r w:rsidRPr="00B67E71">
              <w:rPr>
                <w:rFonts w:cs="Arial"/>
                <w:sz w:val="16"/>
                <w:szCs w:val="16"/>
              </w:rPr>
              <w:t>Uses validated scale.</w:t>
            </w:r>
          </w:p>
          <w:p w14:paraId="30934322" w14:textId="77777777" w:rsidR="00AF3330" w:rsidRDefault="00AF3330" w:rsidP="00AF3330">
            <w:pPr>
              <w:numPr>
                <w:ilvl w:val="0"/>
                <w:numId w:val="10"/>
              </w:numPr>
              <w:tabs>
                <w:tab w:val="left" w:pos="6691"/>
              </w:tabs>
              <w:spacing w:line="240" w:lineRule="auto"/>
              <w:ind w:left="316" w:hanging="284"/>
              <w:cnfStyle w:val="000000000000" w:firstRow="0" w:lastRow="0" w:firstColumn="0" w:lastColumn="0" w:oddVBand="0" w:evenVBand="0" w:oddHBand="0" w:evenHBand="0" w:firstRowFirstColumn="0" w:firstRowLastColumn="0" w:lastRowFirstColumn="0" w:lastRowLastColumn="0"/>
              <w:rPr>
                <w:rFonts w:cs="Arial"/>
                <w:sz w:val="16"/>
                <w:szCs w:val="16"/>
              </w:rPr>
            </w:pPr>
            <w:r w:rsidRPr="00B67E71">
              <w:rPr>
                <w:rFonts w:cs="Arial"/>
                <w:sz w:val="16"/>
                <w:szCs w:val="16"/>
              </w:rPr>
              <w:t>Baseline data available from 2018 NRTWS.</w:t>
            </w:r>
          </w:p>
          <w:p w14:paraId="3B81C4BF" w14:textId="5220F061" w:rsidR="000378CB" w:rsidRPr="00B67E71" w:rsidRDefault="00454A1D" w:rsidP="00D553DC">
            <w:pPr>
              <w:numPr>
                <w:ilvl w:val="0"/>
                <w:numId w:val="10"/>
              </w:numPr>
              <w:tabs>
                <w:tab w:val="left" w:pos="6691"/>
              </w:tabs>
              <w:spacing w:line="240" w:lineRule="auto"/>
              <w:ind w:left="316" w:hanging="284"/>
              <w:cnfStyle w:val="000000000000" w:firstRow="0" w:lastRow="0" w:firstColumn="0" w:lastColumn="0" w:oddVBand="0" w:evenVBand="0" w:oddHBand="0" w:evenHBand="0" w:firstRowFirstColumn="0" w:firstRowLastColumn="0" w:lastRowFirstColumn="0" w:lastRowLastColumn="0"/>
              <w:rPr>
                <w:rFonts w:cs="Arial"/>
                <w:sz w:val="16"/>
                <w:szCs w:val="16"/>
              </w:rPr>
            </w:pPr>
            <w:r>
              <w:rPr>
                <w:rFonts w:eastAsia="Arial" w:cs="Arial"/>
                <w:color w:val="000000"/>
                <w:sz w:val="16"/>
                <w:szCs w:val="16"/>
                <w:lang w:eastAsia="zh-CN"/>
              </w:rPr>
              <w:t xml:space="preserve">See </w:t>
            </w:r>
            <w:hyperlink r:id="rId21" w:history="1">
              <w:r w:rsidR="000378CB" w:rsidRPr="009C09D2">
                <w:rPr>
                  <w:rStyle w:val="Hyperlink"/>
                  <w:rFonts w:eastAsia="Arial" w:cs="Arial"/>
                  <w:sz w:val="16"/>
                  <w:szCs w:val="16"/>
                  <w:lang w:eastAsia="zh-CN"/>
                </w:rPr>
                <w:t>NRTWS 2018 questionnaire</w:t>
              </w:r>
            </w:hyperlink>
            <w:r w:rsidR="00EE063E">
              <w:rPr>
                <w:rFonts w:eastAsia="Arial" w:cs="Arial"/>
                <w:color w:val="000000"/>
                <w:sz w:val="16"/>
                <w:szCs w:val="16"/>
                <w:lang w:eastAsia="zh-CN"/>
              </w:rPr>
              <w:t>, questions PP4</w:t>
            </w:r>
            <w:r>
              <w:rPr>
                <w:rFonts w:eastAsia="Arial" w:cs="Arial"/>
                <w:color w:val="000000"/>
                <w:sz w:val="16"/>
                <w:szCs w:val="16"/>
                <w:lang w:eastAsia="zh-CN"/>
              </w:rPr>
              <w:t xml:space="preserve">, PP5 (page 29) and JP4 (page 13). </w:t>
            </w:r>
          </w:p>
        </w:tc>
        <w:tc>
          <w:tcPr>
            <w:tcW w:w="993" w:type="dxa"/>
            <w:shd w:val="clear" w:color="auto" w:fill="FFFFFF" w:themeFill="background1"/>
            <w:vAlign w:val="center"/>
          </w:tcPr>
          <w:p w14:paraId="7C659DB6" w14:textId="77777777" w:rsidR="00AF3330" w:rsidRPr="00B67E71" w:rsidRDefault="00AF3330" w:rsidP="00BA6315">
            <w:pPr>
              <w:tabs>
                <w:tab w:val="left" w:pos="6691"/>
              </w:tabs>
              <w:spacing w:line="259" w:lineRule="auto"/>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B67E71">
              <w:rPr>
                <w:rFonts w:cs="Arial"/>
                <w:bCs/>
                <w:sz w:val="16"/>
                <w:szCs w:val="16"/>
              </w:rPr>
              <w:t>Increase</w:t>
            </w:r>
          </w:p>
        </w:tc>
        <w:tc>
          <w:tcPr>
            <w:tcW w:w="992" w:type="dxa"/>
            <w:shd w:val="clear" w:color="auto" w:fill="FFFFFF" w:themeFill="background1"/>
            <w:vAlign w:val="center"/>
          </w:tcPr>
          <w:p w14:paraId="61605683" w14:textId="77777777" w:rsidR="00AF3330" w:rsidRPr="00B67E71" w:rsidRDefault="00AF3330" w:rsidP="00BA6315">
            <w:pPr>
              <w:tabs>
                <w:tab w:val="left" w:pos="6691"/>
              </w:tabs>
              <w:spacing w:line="259" w:lineRule="auto"/>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B67E71">
              <w:rPr>
                <w:rFonts w:cs="Arial"/>
                <w:bCs/>
                <w:sz w:val="16"/>
                <w:szCs w:val="16"/>
              </w:rPr>
              <w:t>Small to Moderate</w:t>
            </w:r>
          </w:p>
        </w:tc>
      </w:tr>
    </w:tbl>
    <w:p w14:paraId="079AF3A2" w14:textId="77777777" w:rsidR="00B67E71" w:rsidRPr="00B67E71" w:rsidRDefault="00C86D4C" w:rsidP="00C86D4C">
      <w:pPr>
        <w:spacing w:after="0" w:line="240" w:lineRule="auto"/>
        <w:ind w:left="-567"/>
        <w:rPr>
          <w:rFonts w:cs="Arial"/>
          <w:sz w:val="16"/>
          <w:szCs w:val="16"/>
        </w:rPr>
      </w:pPr>
      <w:r>
        <w:rPr>
          <w:rFonts w:eastAsia="Calibri" w:cs="Arial"/>
          <w:bCs/>
          <w:sz w:val="16"/>
          <w:szCs w:val="18"/>
        </w:rPr>
        <w:br/>
      </w:r>
      <w:r w:rsidRPr="00C86D4C">
        <w:rPr>
          <w:rFonts w:eastAsia="Calibri" w:cs="Arial"/>
          <w:b/>
          <w:bCs/>
          <w:sz w:val="16"/>
          <w:szCs w:val="18"/>
        </w:rPr>
        <w:t>Footnote</w:t>
      </w:r>
      <w:r>
        <w:rPr>
          <w:rFonts w:eastAsia="Calibri" w:cs="Arial"/>
          <w:bCs/>
          <w:sz w:val="16"/>
          <w:szCs w:val="18"/>
        </w:rPr>
        <w:t xml:space="preserve">: </w:t>
      </w:r>
      <w:r w:rsidR="00B67E71" w:rsidRPr="00B67E71">
        <w:rPr>
          <w:rFonts w:eastAsia="Calibri" w:cs="Arial"/>
          <w:bCs/>
          <w:sz w:val="16"/>
          <w:szCs w:val="18"/>
        </w:rPr>
        <w:t>Future data developmental work may result in the inclusion of additional measures and/or alternative metrics in the framework</w:t>
      </w:r>
      <w:r w:rsidR="00AF3330">
        <w:rPr>
          <w:rFonts w:eastAsia="Calibri" w:cs="Arial"/>
          <w:bCs/>
          <w:sz w:val="16"/>
          <w:szCs w:val="18"/>
        </w:rPr>
        <w:t xml:space="preserve"> as noted below:</w:t>
      </w:r>
      <w:r w:rsidR="00B67E71" w:rsidRPr="00B67E71">
        <w:rPr>
          <w:rFonts w:eastAsia="Calibri" w:cs="Arial"/>
          <w:bCs/>
          <w:sz w:val="16"/>
          <w:szCs w:val="18"/>
        </w:rPr>
        <w:t xml:space="preserve"> </w:t>
      </w:r>
    </w:p>
    <w:p w14:paraId="5E81558E" w14:textId="77777777" w:rsidR="00A430A4" w:rsidRDefault="00B67E71" w:rsidP="00C86D4C">
      <w:pPr>
        <w:keepNext/>
        <w:keepLines/>
        <w:tabs>
          <w:tab w:val="left" w:pos="6691"/>
        </w:tabs>
        <w:spacing w:after="0" w:line="257" w:lineRule="auto"/>
        <w:ind w:left="-567"/>
        <w:outlineLvl w:val="0"/>
        <w:rPr>
          <w:rFonts w:eastAsia="Calibri" w:cs="Arial"/>
          <w:bCs/>
          <w:sz w:val="16"/>
          <w:szCs w:val="18"/>
        </w:rPr>
        <w:sectPr w:rsidR="00A430A4" w:rsidSect="00726E13">
          <w:headerReference w:type="default" r:id="rId22"/>
          <w:footerReference w:type="default" r:id="rId23"/>
          <w:pgSz w:w="16838" w:h="11906" w:orient="landscape"/>
          <w:pgMar w:top="1843" w:right="1440" w:bottom="1276" w:left="1440" w:header="708" w:footer="332" w:gutter="0"/>
          <w:cols w:space="708"/>
          <w:docGrid w:linePitch="360"/>
        </w:sectPr>
      </w:pPr>
      <w:r w:rsidRPr="00B67E71">
        <w:rPr>
          <w:rFonts w:eastAsia="Calibri" w:cs="Arial"/>
          <w:bCs/>
          <w:sz w:val="16"/>
          <w:szCs w:val="18"/>
        </w:rPr>
        <w:t>* Selected measures related to employers are based on the worker’s perspective of their employer’s actions, captured through the NRTWS</w:t>
      </w:r>
      <w:r w:rsidR="00AF3330">
        <w:rPr>
          <w:rFonts w:eastAsia="Calibri" w:cs="Arial"/>
          <w:bCs/>
          <w:sz w:val="16"/>
          <w:szCs w:val="18"/>
        </w:rPr>
        <w:t>.</w:t>
      </w:r>
    </w:p>
    <w:p w14:paraId="22BC2246" w14:textId="77777777" w:rsidR="00A430A4" w:rsidRPr="0071751B" w:rsidRDefault="00A430A4" w:rsidP="00A430A4">
      <w:pPr>
        <w:pStyle w:val="Heading1"/>
      </w:pPr>
      <w:r w:rsidRPr="0071751B">
        <w:lastRenderedPageBreak/>
        <w:t>Research underpinning national performance measures</w:t>
      </w:r>
    </w:p>
    <w:p w14:paraId="267B8A4F" w14:textId="77777777" w:rsidR="00A430A4" w:rsidRDefault="00A430A4" w:rsidP="00A430A4">
      <w:r w:rsidRPr="0071751B">
        <w:t xml:space="preserve">There is a sound evidence base for the national performance measures. Some of the </w:t>
      </w:r>
      <w:r w:rsidR="007478CF">
        <w:t xml:space="preserve">lagging indicators </w:t>
      </w:r>
      <w:r w:rsidRPr="0071751B">
        <w:t xml:space="preserve">have been selected primarily because they are generally accepted to be markers of </w:t>
      </w:r>
      <w:r w:rsidRPr="00361F32">
        <w:t>return to work</w:t>
      </w:r>
      <w:r w:rsidRPr="0071751B">
        <w:t xml:space="preserve"> </w:t>
      </w:r>
      <w:proofErr w:type="gramStart"/>
      <w:r w:rsidRPr="0071751B">
        <w:t>performance, and</w:t>
      </w:r>
      <w:proofErr w:type="gramEnd"/>
      <w:r w:rsidRPr="0071751B">
        <w:t xml:space="preserve"> have been tracked and reported for many years. Other outcomes are relatively new in the Australian context but are routinely collected in work injury rehabilitation systems internationally, such as the Work </w:t>
      </w:r>
      <w:r>
        <w:t xml:space="preserve">Role Functioning Questionnaire. </w:t>
      </w:r>
    </w:p>
    <w:p w14:paraId="6C75B8FC" w14:textId="77777777" w:rsidR="00A430A4" w:rsidRDefault="00A430A4" w:rsidP="00A430A4">
      <w:r w:rsidRPr="0071751B">
        <w:t xml:space="preserve">The leading indicators selected all have studies conducted in Australia or elsewhere that show links between the indicator and a </w:t>
      </w:r>
      <w:r w:rsidRPr="00361F32">
        <w:t>return to work</w:t>
      </w:r>
      <w:r w:rsidRPr="0071751B">
        <w:t xml:space="preserve"> outcome. For example, there is now strong evidence that a worker</w:t>
      </w:r>
      <w:r>
        <w:t>’s</w:t>
      </w:r>
      <w:r w:rsidRPr="0071751B">
        <w:t xml:space="preserve"> experiences during the return to work process can have a profound impact on the speed and durability of return to work. </w:t>
      </w:r>
    </w:p>
    <w:p w14:paraId="7B4695E7" w14:textId="77777777" w:rsidR="00A430A4" w:rsidRDefault="00A430A4" w:rsidP="00A430A4">
      <w:r w:rsidRPr="00F507B5">
        <w:rPr>
          <w:b/>
        </w:rPr>
        <w:t>Table 5</w:t>
      </w:r>
      <w:r w:rsidRPr="0071751B">
        <w:t xml:space="preserve"> provides a selection of citations for each of the national performance measures and explains briefly the findings of each citation. This is not intended to be an exhaustive list, but rather a demonstration that there is </w:t>
      </w:r>
      <w:r>
        <w:t>sound</w:t>
      </w:r>
      <w:r w:rsidRPr="0071751B">
        <w:t xml:space="preserve"> evi</w:t>
      </w:r>
      <w:r w:rsidR="00830021">
        <w:t>dence supporting the use of the</w:t>
      </w:r>
      <w:r>
        <w:t xml:space="preserve"> </w:t>
      </w:r>
      <w:r w:rsidRPr="0071751B">
        <w:t>national</w:t>
      </w:r>
      <w:r>
        <w:t xml:space="preserve"> performance</w:t>
      </w:r>
      <w:r w:rsidRPr="0071751B">
        <w:t xml:space="preserve"> measures</w:t>
      </w:r>
      <w:r w:rsidR="00830021">
        <w:t xml:space="preserve"> selected for inclusion in the measurement framework</w:t>
      </w:r>
      <w:r w:rsidRPr="0071751B">
        <w:t xml:space="preserve">. </w:t>
      </w:r>
    </w:p>
    <w:p w14:paraId="5DF1B095" w14:textId="77777777" w:rsidR="00A430A4" w:rsidRDefault="00A430A4" w:rsidP="00A430A4">
      <w:pPr>
        <w:spacing w:line="259" w:lineRule="auto"/>
        <w:rPr>
          <w:highlight w:val="yellow"/>
        </w:rPr>
      </w:pPr>
      <w:r>
        <w:rPr>
          <w:highlight w:val="yellow"/>
        </w:rPr>
        <w:br w:type="page"/>
      </w:r>
    </w:p>
    <w:p w14:paraId="1C10331A" w14:textId="77777777" w:rsidR="00B67E71" w:rsidRPr="00B67E71" w:rsidRDefault="00B67E71" w:rsidP="00B67E71">
      <w:pPr>
        <w:keepNext/>
        <w:keepLines/>
        <w:tabs>
          <w:tab w:val="left" w:pos="6691"/>
        </w:tabs>
        <w:spacing w:after="0" w:line="257" w:lineRule="auto"/>
        <w:outlineLvl w:val="0"/>
        <w:rPr>
          <w:rFonts w:eastAsia="Calibri" w:cs="Arial"/>
          <w:bCs/>
          <w:sz w:val="16"/>
          <w:szCs w:val="18"/>
        </w:rPr>
        <w:sectPr w:rsidR="00B67E71" w:rsidRPr="00B67E71" w:rsidSect="00A430A4">
          <w:headerReference w:type="default" r:id="rId24"/>
          <w:footerReference w:type="default" r:id="rId25"/>
          <w:pgSz w:w="11906" w:h="16838"/>
          <w:pgMar w:top="1440" w:right="1440" w:bottom="1440" w:left="1440" w:header="708" w:footer="708" w:gutter="0"/>
          <w:cols w:space="708"/>
          <w:docGrid w:linePitch="360"/>
        </w:sectPr>
      </w:pPr>
    </w:p>
    <w:p w14:paraId="3485204C" w14:textId="77777777" w:rsidR="00A430A4" w:rsidRPr="00A430A4" w:rsidRDefault="00A430A4" w:rsidP="00974C7A">
      <w:pPr>
        <w:pStyle w:val="Heading3"/>
        <w:ind w:left="-567"/>
        <w:rPr>
          <w:sz w:val="16"/>
          <w:highlight w:val="yellow"/>
        </w:rPr>
      </w:pPr>
      <w:r w:rsidRPr="00A430A4">
        <w:lastRenderedPageBreak/>
        <w:t>Table 5. Selection of research on national performance measures</w:t>
      </w:r>
    </w:p>
    <w:tbl>
      <w:tblPr>
        <w:tblStyle w:val="GridTable1Light-Accent1"/>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450"/>
        <w:gridCol w:w="6450"/>
      </w:tblGrid>
      <w:tr w:rsidR="00A14123" w:rsidRPr="006323ED" w14:paraId="45854708" w14:textId="77777777" w:rsidTr="0094759D">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2268" w:type="dxa"/>
            <w:tcBorders>
              <w:bottom w:val="none" w:sz="0" w:space="0" w:color="auto"/>
            </w:tcBorders>
            <w:shd w:val="clear" w:color="auto" w:fill="3D7881"/>
            <w:vAlign w:val="center"/>
          </w:tcPr>
          <w:p w14:paraId="7234D1C2" w14:textId="77777777" w:rsidR="00A14123" w:rsidRPr="0041166A" w:rsidRDefault="00A14123" w:rsidP="00A14123">
            <w:pPr>
              <w:tabs>
                <w:tab w:val="left" w:pos="6691"/>
              </w:tabs>
              <w:rPr>
                <w:rFonts w:cs="Arial"/>
                <w:color w:val="FFFFFF" w:themeColor="background1"/>
                <w:sz w:val="18"/>
                <w:szCs w:val="18"/>
              </w:rPr>
            </w:pPr>
            <w:r w:rsidRPr="0041166A">
              <w:rPr>
                <w:rFonts w:cs="Arial"/>
                <w:color w:val="FFFFFF" w:themeColor="background1"/>
                <w:sz w:val="18"/>
                <w:szCs w:val="18"/>
              </w:rPr>
              <w:t>Performance Measure</w:t>
            </w:r>
          </w:p>
        </w:tc>
        <w:tc>
          <w:tcPr>
            <w:tcW w:w="6450" w:type="dxa"/>
            <w:tcBorders>
              <w:bottom w:val="none" w:sz="0" w:space="0" w:color="auto"/>
            </w:tcBorders>
            <w:shd w:val="clear" w:color="auto" w:fill="3D7881"/>
            <w:vAlign w:val="center"/>
          </w:tcPr>
          <w:p w14:paraId="6F5FEA9F" w14:textId="77777777" w:rsidR="00A14123" w:rsidRPr="00A14123" w:rsidRDefault="00A14123" w:rsidP="00A14123">
            <w:pPr>
              <w:tabs>
                <w:tab w:val="left" w:pos="6691"/>
              </w:tabs>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r w:rsidRPr="00A14123">
              <w:rPr>
                <w:rFonts w:cs="Arial"/>
                <w:color w:val="FFFFFF" w:themeColor="background1"/>
                <w:sz w:val="18"/>
                <w:szCs w:val="18"/>
              </w:rPr>
              <w:t>Citation/s</w:t>
            </w:r>
          </w:p>
        </w:tc>
        <w:tc>
          <w:tcPr>
            <w:tcW w:w="6450" w:type="dxa"/>
            <w:tcBorders>
              <w:bottom w:val="none" w:sz="0" w:space="0" w:color="auto"/>
            </w:tcBorders>
            <w:shd w:val="clear" w:color="auto" w:fill="3D7881"/>
            <w:vAlign w:val="center"/>
          </w:tcPr>
          <w:p w14:paraId="4DB8CC5F" w14:textId="77777777" w:rsidR="00A14123" w:rsidRPr="00A14123" w:rsidRDefault="00A14123" w:rsidP="00A14123">
            <w:pPr>
              <w:tabs>
                <w:tab w:val="left" w:pos="6691"/>
              </w:tabs>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r w:rsidRPr="00A14123">
              <w:rPr>
                <w:rFonts w:cs="Arial"/>
                <w:color w:val="FFFFFF" w:themeColor="background1"/>
                <w:sz w:val="18"/>
                <w:szCs w:val="18"/>
              </w:rPr>
              <w:t xml:space="preserve">Summary </w:t>
            </w:r>
          </w:p>
        </w:tc>
      </w:tr>
      <w:tr w:rsidR="00A14123" w:rsidRPr="006323ED" w14:paraId="06FCD205" w14:textId="77777777" w:rsidTr="0094759D">
        <w:trPr>
          <w:trHeight w:val="552"/>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2502D4AD" w14:textId="77777777" w:rsidR="00A14123" w:rsidRPr="0041166A" w:rsidRDefault="00A14123" w:rsidP="00A14123">
            <w:pPr>
              <w:tabs>
                <w:tab w:val="left" w:pos="6691"/>
              </w:tabs>
              <w:rPr>
                <w:rFonts w:cs="Arial"/>
                <w:sz w:val="16"/>
                <w:szCs w:val="16"/>
              </w:rPr>
            </w:pPr>
            <w:r w:rsidRPr="0041166A">
              <w:rPr>
                <w:rFonts w:cs="Arial"/>
                <w:sz w:val="16"/>
                <w:szCs w:val="16"/>
              </w:rPr>
              <w:t>Timely return to work</w:t>
            </w:r>
          </w:p>
        </w:tc>
        <w:tc>
          <w:tcPr>
            <w:tcW w:w="6450" w:type="dxa"/>
            <w:vAlign w:val="center"/>
          </w:tcPr>
          <w:p w14:paraId="78A5B15C" w14:textId="77777777" w:rsidR="00A14123" w:rsidRPr="00A14123" w:rsidRDefault="00A14123" w:rsidP="0094759D">
            <w:pPr>
              <w:tabs>
                <w:tab w:val="left" w:pos="6691"/>
              </w:tabs>
              <w:spacing w:before="40" w:after="40"/>
              <w:cnfStyle w:val="000000000000" w:firstRow="0" w:lastRow="0" w:firstColumn="0" w:lastColumn="0" w:oddVBand="0" w:evenVBand="0" w:oddHBand="0" w:evenHBand="0" w:firstRowFirstColumn="0" w:firstRowLastColumn="0" w:lastRowFirstColumn="0" w:lastRowLastColumn="0"/>
              <w:rPr>
                <w:rFonts w:cs="Arial"/>
                <w:sz w:val="16"/>
                <w:szCs w:val="16"/>
              </w:rPr>
            </w:pPr>
            <w:r w:rsidRPr="00A14123">
              <w:rPr>
                <w:rFonts w:cs="Arial"/>
                <w:sz w:val="16"/>
                <w:szCs w:val="16"/>
              </w:rPr>
              <w:t xml:space="preserve">Safe Work Australia. Comparative Performance Monitoring Report 20th Edition </w:t>
            </w:r>
            <w:r w:rsidR="0094759D">
              <w:rPr>
                <w:rFonts w:cs="Arial"/>
                <w:sz w:val="16"/>
                <w:szCs w:val="16"/>
              </w:rPr>
              <w:t xml:space="preserve">2018 Dec. Canberra, Australia. </w:t>
            </w:r>
          </w:p>
        </w:tc>
        <w:tc>
          <w:tcPr>
            <w:tcW w:w="6450" w:type="dxa"/>
          </w:tcPr>
          <w:p w14:paraId="0791FF53" w14:textId="2ED81464" w:rsidR="00A14123" w:rsidRPr="00A14123" w:rsidRDefault="00A14123" w:rsidP="00A03A27">
            <w:pPr>
              <w:tabs>
                <w:tab w:val="left" w:pos="6691"/>
              </w:tabs>
              <w:spacing w:before="40" w:after="40"/>
              <w:cnfStyle w:val="000000000000" w:firstRow="0" w:lastRow="0" w:firstColumn="0" w:lastColumn="0" w:oddVBand="0" w:evenVBand="0" w:oddHBand="0" w:evenHBand="0" w:firstRowFirstColumn="0" w:firstRowLastColumn="0" w:lastRowFirstColumn="0" w:lastRowLastColumn="0"/>
              <w:rPr>
                <w:rFonts w:cs="Arial"/>
                <w:sz w:val="16"/>
                <w:szCs w:val="16"/>
                <w:shd w:val="clear" w:color="auto" w:fill="FFFFFF"/>
              </w:rPr>
            </w:pPr>
            <w:r w:rsidRPr="00A14123">
              <w:rPr>
                <w:rFonts w:cs="Arial"/>
                <w:sz w:val="16"/>
                <w:szCs w:val="16"/>
                <w:shd w:val="clear" w:color="auto" w:fill="FFFFFF"/>
              </w:rPr>
              <w:t>Latest C</w:t>
            </w:r>
            <w:r w:rsidR="00A03A27">
              <w:rPr>
                <w:rFonts w:cs="Arial"/>
                <w:sz w:val="16"/>
                <w:szCs w:val="16"/>
                <w:shd w:val="clear" w:color="auto" w:fill="FFFFFF"/>
              </w:rPr>
              <w:t>PM</w:t>
            </w:r>
            <w:r w:rsidRPr="00A14123">
              <w:rPr>
                <w:rFonts w:cs="Arial"/>
                <w:sz w:val="16"/>
                <w:szCs w:val="16"/>
                <w:shd w:val="clear" w:color="auto" w:fill="FFFFFF"/>
              </w:rPr>
              <w:t xml:space="preserve"> report tracking, among other markers, the frequency and incidence rates of long-term claims, defined as &gt; 12 weeks or more duration.</w:t>
            </w:r>
            <w:r w:rsidRPr="00A14123">
              <w:rPr>
                <w:rFonts w:cs="Arial"/>
                <w:color w:val="0000FF"/>
                <w:sz w:val="16"/>
                <w:szCs w:val="16"/>
                <w:u w:val="single"/>
                <w:shd w:val="clear" w:color="auto" w:fill="FFFFFF"/>
              </w:rPr>
              <w:t xml:space="preserve"> </w:t>
            </w:r>
          </w:p>
        </w:tc>
      </w:tr>
      <w:tr w:rsidR="00A14123" w:rsidRPr="006323ED" w14:paraId="18C6D3ED" w14:textId="77777777" w:rsidTr="0094759D">
        <w:tc>
          <w:tcPr>
            <w:cnfStyle w:val="001000000000" w:firstRow="0" w:lastRow="0" w:firstColumn="1" w:lastColumn="0" w:oddVBand="0" w:evenVBand="0" w:oddHBand="0" w:evenHBand="0" w:firstRowFirstColumn="0" w:firstRowLastColumn="0" w:lastRowFirstColumn="0" w:lastRowLastColumn="0"/>
            <w:tcW w:w="2268" w:type="dxa"/>
            <w:vAlign w:val="center"/>
          </w:tcPr>
          <w:p w14:paraId="2C11CC81" w14:textId="77777777" w:rsidR="00A14123" w:rsidRPr="0041166A" w:rsidRDefault="00A14123" w:rsidP="00A14123">
            <w:pPr>
              <w:tabs>
                <w:tab w:val="left" w:pos="6691"/>
              </w:tabs>
              <w:rPr>
                <w:rFonts w:cs="Arial"/>
                <w:sz w:val="16"/>
                <w:szCs w:val="16"/>
              </w:rPr>
            </w:pPr>
            <w:r w:rsidRPr="0041166A">
              <w:rPr>
                <w:rFonts w:cs="Arial"/>
                <w:sz w:val="16"/>
                <w:szCs w:val="16"/>
              </w:rPr>
              <w:t>Safe return to work</w:t>
            </w:r>
          </w:p>
        </w:tc>
        <w:tc>
          <w:tcPr>
            <w:tcW w:w="6450" w:type="dxa"/>
            <w:vAlign w:val="center"/>
          </w:tcPr>
          <w:p w14:paraId="41DF3DAA" w14:textId="77777777" w:rsidR="00A14123" w:rsidRPr="00A14123" w:rsidRDefault="00A14123" w:rsidP="0094759D">
            <w:pPr>
              <w:tabs>
                <w:tab w:val="left" w:pos="6691"/>
              </w:tabs>
              <w:spacing w:before="40" w:after="40"/>
              <w:cnfStyle w:val="000000000000" w:firstRow="0" w:lastRow="0" w:firstColumn="0" w:lastColumn="0" w:oddVBand="0" w:evenVBand="0" w:oddHBand="0" w:evenHBand="0" w:firstRowFirstColumn="0" w:firstRowLastColumn="0" w:lastRowFirstColumn="0" w:lastRowLastColumn="0"/>
              <w:rPr>
                <w:rFonts w:cs="Arial"/>
                <w:sz w:val="16"/>
                <w:szCs w:val="16"/>
                <w:shd w:val="clear" w:color="auto" w:fill="FFFFFF"/>
              </w:rPr>
            </w:pPr>
            <w:r w:rsidRPr="00A14123">
              <w:rPr>
                <w:rFonts w:cs="Arial"/>
                <w:bCs/>
                <w:sz w:val="16"/>
                <w:szCs w:val="16"/>
                <w:shd w:val="clear" w:color="auto" w:fill="FFFFFF"/>
              </w:rPr>
              <w:t>Collie A</w:t>
            </w:r>
            <w:r w:rsidRPr="00A14123">
              <w:rPr>
                <w:rFonts w:cs="Arial"/>
                <w:sz w:val="16"/>
                <w:szCs w:val="16"/>
                <w:shd w:val="clear" w:color="auto" w:fill="FFFFFF"/>
              </w:rPr>
              <w:t xml:space="preserve">, Simpson PM, Cameron PA, et al. </w:t>
            </w:r>
            <w:hyperlink r:id="rId26" w:history="1">
              <w:r w:rsidRPr="00A14123">
                <w:rPr>
                  <w:rFonts w:cs="Arial"/>
                  <w:sz w:val="16"/>
                  <w:szCs w:val="16"/>
                  <w:shd w:val="clear" w:color="auto" w:fill="FFFFFF"/>
                </w:rPr>
                <w:t>Patterns and Predictors of </w:t>
              </w:r>
              <w:r w:rsidRPr="00A14123">
                <w:rPr>
                  <w:rFonts w:cs="Arial"/>
                  <w:bCs/>
                  <w:sz w:val="16"/>
                  <w:szCs w:val="16"/>
                  <w:shd w:val="clear" w:color="auto" w:fill="FFFFFF"/>
                </w:rPr>
                <w:t>Return to Work</w:t>
              </w:r>
              <w:r w:rsidRPr="00A14123">
                <w:rPr>
                  <w:rFonts w:cs="Arial"/>
                  <w:sz w:val="16"/>
                  <w:szCs w:val="16"/>
                  <w:shd w:val="clear" w:color="auto" w:fill="FFFFFF"/>
                </w:rPr>
                <w:t> After Major Trauma: A Prospective, Population-based Registry Study.</w:t>
              </w:r>
            </w:hyperlink>
            <w:r w:rsidRPr="00A14123">
              <w:rPr>
                <w:rFonts w:cs="Arial"/>
                <w:sz w:val="16"/>
                <w:szCs w:val="16"/>
              </w:rPr>
              <w:t xml:space="preserve"> </w:t>
            </w:r>
            <w:r w:rsidRPr="00A14123">
              <w:rPr>
                <w:rFonts w:cs="Arial"/>
                <w:sz w:val="16"/>
                <w:szCs w:val="16"/>
                <w:shd w:val="clear" w:color="auto" w:fill="FFFFFF"/>
              </w:rPr>
              <w:t>Ann Surg. 2019 May;269(5):972-978.</w:t>
            </w:r>
          </w:p>
          <w:p w14:paraId="2C4D8391" w14:textId="77777777" w:rsidR="00A14123" w:rsidRPr="0094759D" w:rsidRDefault="00A14123" w:rsidP="0094759D">
            <w:pPr>
              <w:tabs>
                <w:tab w:val="left" w:pos="6691"/>
              </w:tabs>
              <w:spacing w:before="40" w:after="40"/>
              <w:cnfStyle w:val="000000000000" w:firstRow="0" w:lastRow="0" w:firstColumn="0" w:lastColumn="0" w:oddVBand="0" w:evenVBand="0" w:oddHBand="0" w:evenHBand="0" w:firstRowFirstColumn="0" w:firstRowLastColumn="0" w:lastRowFirstColumn="0" w:lastRowLastColumn="0"/>
              <w:rPr>
                <w:rFonts w:cs="Arial"/>
                <w:sz w:val="16"/>
                <w:szCs w:val="16"/>
                <w:shd w:val="clear" w:color="auto" w:fill="FFFFFF"/>
              </w:rPr>
            </w:pPr>
            <w:proofErr w:type="spellStart"/>
            <w:r w:rsidRPr="00A14123">
              <w:rPr>
                <w:rFonts w:cs="Arial"/>
                <w:bCs/>
                <w:sz w:val="16"/>
                <w:szCs w:val="16"/>
                <w:shd w:val="clear" w:color="auto" w:fill="FFFFFF"/>
              </w:rPr>
              <w:t>Ruseckaite</w:t>
            </w:r>
            <w:proofErr w:type="spellEnd"/>
            <w:r w:rsidRPr="00A14123">
              <w:rPr>
                <w:rFonts w:cs="Arial"/>
                <w:sz w:val="16"/>
                <w:szCs w:val="16"/>
                <w:shd w:val="clear" w:color="auto" w:fill="FFFFFF"/>
              </w:rPr>
              <w:t> R, </w:t>
            </w:r>
            <w:r w:rsidRPr="00A14123">
              <w:rPr>
                <w:rFonts w:cs="Arial"/>
                <w:bCs/>
                <w:sz w:val="16"/>
                <w:szCs w:val="16"/>
                <w:shd w:val="clear" w:color="auto" w:fill="FFFFFF"/>
              </w:rPr>
              <w:t>Collie</w:t>
            </w:r>
            <w:r w:rsidRPr="00A14123">
              <w:rPr>
                <w:rFonts w:cs="Arial"/>
                <w:sz w:val="16"/>
                <w:szCs w:val="16"/>
                <w:shd w:val="clear" w:color="auto" w:fill="FFFFFF"/>
              </w:rPr>
              <w:t xml:space="preserve"> A. </w:t>
            </w:r>
            <w:hyperlink r:id="rId27" w:history="1">
              <w:r w:rsidRPr="00A14123">
                <w:rPr>
                  <w:rFonts w:cs="Arial"/>
                  <w:sz w:val="16"/>
                  <w:szCs w:val="16"/>
                  <w:shd w:val="clear" w:color="auto" w:fill="FFFFFF"/>
                </w:rPr>
                <w:t>The incidence and impact of recurrent workplace injury and disease: a cohort study of WorkSafe Victoria, Australia compensation claims.</w:t>
              </w:r>
            </w:hyperlink>
            <w:r w:rsidRPr="00A14123">
              <w:rPr>
                <w:rFonts w:cs="Arial"/>
                <w:sz w:val="16"/>
                <w:szCs w:val="16"/>
              </w:rPr>
              <w:t xml:space="preserve"> </w:t>
            </w:r>
            <w:r w:rsidR="0094759D">
              <w:rPr>
                <w:rFonts w:cs="Arial"/>
                <w:sz w:val="16"/>
                <w:szCs w:val="16"/>
                <w:shd w:val="clear" w:color="auto" w:fill="FFFFFF"/>
              </w:rPr>
              <w:t>BMJ Open. 2013 Mar 1;3(3).</w:t>
            </w:r>
          </w:p>
        </w:tc>
        <w:tc>
          <w:tcPr>
            <w:tcW w:w="6450" w:type="dxa"/>
          </w:tcPr>
          <w:p w14:paraId="34BD1F3A" w14:textId="77777777" w:rsidR="00A14123" w:rsidRPr="00A14123" w:rsidRDefault="00A14123" w:rsidP="0094759D">
            <w:pPr>
              <w:tabs>
                <w:tab w:val="left" w:pos="6691"/>
              </w:tabs>
              <w:spacing w:before="40" w:after="40"/>
              <w:cnfStyle w:val="000000000000" w:firstRow="0" w:lastRow="0" w:firstColumn="0" w:lastColumn="0" w:oddVBand="0" w:evenVBand="0" w:oddHBand="0" w:evenHBand="0" w:firstRowFirstColumn="0" w:firstRowLastColumn="0" w:lastRowFirstColumn="0" w:lastRowLastColumn="0"/>
              <w:rPr>
                <w:rFonts w:cs="Arial"/>
                <w:sz w:val="16"/>
                <w:szCs w:val="16"/>
              </w:rPr>
            </w:pPr>
            <w:r w:rsidRPr="00A14123">
              <w:rPr>
                <w:rFonts w:cs="Arial"/>
                <w:sz w:val="16"/>
                <w:szCs w:val="16"/>
                <w:shd w:val="clear" w:color="auto" w:fill="FFFFFF"/>
              </w:rPr>
              <w:t xml:space="preserve">Demonstrates that self-report survey data can be used to differentiate between groups of people who </w:t>
            </w:r>
            <w:r>
              <w:rPr>
                <w:rFonts w:cs="Arial"/>
                <w:sz w:val="16"/>
                <w:szCs w:val="16"/>
                <w:shd w:val="clear" w:color="auto" w:fill="FFFFFF"/>
              </w:rPr>
              <w:t xml:space="preserve">return to work </w:t>
            </w:r>
            <w:r w:rsidRPr="00A14123">
              <w:rPr>
                <w:rFonts w:cs="Arial"/>
                <w:sz w:val="16"/>
                <w:szCs w:val="16"/>
                <w:shd w:val="clear" w:color="auto" w:fill="FFFFFF"/>
              </w:rPr>
              <w:t xml:space="preserve">and who have delayed or failed attempts to </w:t>
            </w:r>
            <w:r>
              <w:rPr>
                <w:rFonts w:cs="Arial"/>
                <w:sz w:val="16"/>
                <w:szCs w:val="16"/>
                <w:shd w:val="clear" w:color="auto" w:fill="FFFFFF"/>
              </w:rPr>
              <w:t>return to work</w:t>
            </w:r>
            <w:r w:rsidRPr="00A14123">
              <w:rPr>
                <w:rFonts w:cs="Arial"/>
                <w:sz w:val="16"/>
                <w:szCs w:val="16"/>
                <w:shd w:val="clear" w:color="auto" w:fill="FFFFFF"/>
              </w:rPr>
              <w:t xml:space="preserve">. </w:t>
            </w:r>
          </w:p>
          <w:p w14:paraId="5663CDD5" w14:textId="77777777" w:rsidR="00A14123" w:rsidRPr="00A14123" w:rsidRDefault="00A14123" w:rsidP="0094759D">
            <w:pPr>
              <w:tabs>
                <w:tab w:val="left" w:pos="6691"/>
              </w:tabs>
              <w:spacing w:before="40" w:after="40"/>
              <w:cnfStyle w:val="000000000000" w:firstRow="0" w:lastRow="0" w:firstColumn="0" w:lastColumn="0" w:oddVBand="0" w:evenVBand="0" w:oddHBand="0" w:evenHBand="0" w:firstRowFirstColumn="0" w:firstRowLastColumn="0" w:lastRowFirstColumn="0" w:lastRowLastColumn="0"/>
              <w:rPr>
                <w:rFonts w:cs="Arial"/>
                <w:sz w:val="16"/>
                <w:szCs w:val="16"/>
              </w:rPr>
            </w:pPr>
          </w:p>
          <w:p w14:paraId="4DDC5572" w14:textId="77777777" w:rsidR="00A14123" w:rsidRPr="00A14123" w:rsidRDefault="00A14123" w:rsidP="0094759D">
            <w:pPr>
              <w:tabs>
                <w:tab w:val="left" w:pos="6691"/>
              </w:tabs>
              <w:spacing w:before="40" w:after="40"/>
              <w:cnfStyle w:val="000000000000" w:firstRow="0" w:lastRow="0" w:firstColumn="0" w:lastColumn="0" w:oddVBand="0" w:evenVBand="0" w:oddHBand="0" w:evenHBand="0" w:firstRowFirstColumn="0" w:firstRowLastColumn="0" w:lastRowFirstColumn="0" w:lastRowLastColumn="0"/>
              <w:rPr>
                <w:rFonts w:cs="Arial"/>
                <w:sz w:val="16"/>
                <w:szCs w:val="16"/>
              </w:rPr>
            </w:pPr>
            <w:r w:rsidRPr="00A14123">
              <w:rPr>
                <w:rFonts w:cs="Arial"/>
                <w:sz w:val="16"/>
                <w:szCs w:val="16"/>
                <w:shd w:val="clear" w:color="auto" w:fill="FFFFFF"/>
              </w:rPr>
              <w:t xml:space="preserve">Shows that many injured workers experience recurrent workplace injury and disease following an initial workers’ compensation </w:t>
            </w:r>
            <w:proofErr w:type="gramStart"/>
            <w:r w:rsidRPr="00A14123">
              <w:rPr>
                <w:rFonts w:cs="Arial"/>
                <w:sz w:val="16"/>
                <w:szCs w:val="16"/>
                <w:shd w:val="clear" w:color="auto" w:fill="FFFFFF"/>
              </w:rPr>
              <w:t>claim, and</w:t>
            </w:r>
            <w:proofErr w:type="gramEnd"/>
            <w:r w:rsidRPr="00A14123">
              <w:rPr>
                <w:rFonts w:cs="Arial"/>
                <w:sz w:val="16"/>
                <w:szCs w:val="16"/>
                <w:shd w:val="clear" w:color="auto" w:fill="FFFFFF"/>
              </w:rPr>
              <w:t xml:space="preserve"> suggests this is an important marker of rehabilitation effectiveness. </w:t>
            </w:r>
          </w:p>
        </w:tc>
      </w:tr>
      <w:tr w:rsidR="00A14123" w:rsidRPr="006323ED" w14:paraId="5DD7B3D8" w14:textId="77777777" w:rsidTr="0094759D">
        <w:tc>
          <w:tcPr>
            <w:cnfStyle w:val="001000000000" w:firstRow="0" w:lastRow="0" w:firstColumn="1" w:lastColumn="0" w:oddVBand="0" w:evenVBand="0" w:oddHBand="0" w:evenHBand="0" w:firstRowFirstColumn="0" w:firstRowLastColumn="0" w:lastRowFirstColumn="0" w:lastRowLastColumn="0"/>
            <w:tcW w:w="2268" w:type="dxa"/>
            <w:vAlign w:val="center"/>
          </w:tcPr>
          <w:p w14:paraId="1EBCF8F3" w14:textId="77777777" w:rsidR="00A14123" w:rsidRPr="0041166A" w:rsidRDefault="00A14123" w:rsidP="00A14123">
            <w:pPr>
              <w:tabs>
                <w:tab w:val="left" w:pos="6691"/>
              </w:tabs>
              <w:rPr>
                <w:rFonts w:cs="Arial"/>
                <w:sz w:val="16"/>
                <w:szCs w:val="16"/>
              </w:rPr>
            </w:pPr>
            <w:r w:rsidRPr="0041166A">
              <w:rPr>
                <w:rFonts w:cs="Arial"/>
                <w:sz w:val="16"/>
                <w:szCs w:val="16"/>
              </w:rPr>
              <w:t>Durable return to work</w:t>
            </w:r>
          </w:p>
        </w:tc>
        <w:tc>
          <w:tcPr>
            <w:tcW w:w="6450" w:type="dxa"/>
            <w:vAlign w:val="center"/>
          </w:tcPr>
          <w:p w14:paraId="52A7518D" w14:textId="77777777" w:rsidR="00A14123" w:rsidRPr="00A14123" w:rsidRDefault="00A14123" w:rsidP="0094759D">
            <w:pPr>
              <w:tabs>
                <w:tab w:val="left" w:pos="6691"/>
              </w:tabs>
              <w:spacing w:before="40" w:after="40"/>
              <w:cnfStyle w:val="000000000000" w:firstRow="0" w:lastRow="0" w:firstColumn="0" w:lastColumn="0" w:oddVBand="0" w:evenVBand="0" w:oddHBand="0" w:evenHBand="0" w:firstRowFirstColumn="0" w:firstRowLastColumn="0" w:lastRowFirstColumn="0" w:lastRowLastColumn="0"/>
              <w:rPr>
                <w:rFonts w:cs="Arial"/>
                <w:sz w:val="16"/>
                <w:szCs w:val="16"/>
              </w:rPr>
            </w:pPr>
            <w:r w:rsidRPr="00A14123">
              <w:rPr>
                <w:rFonts w:cs="Arial"/>
                <w:sz w:val="16"/>
                <w:szCs w:val="16"/>
              </w:rPr>
              <w:t>Social Research Centre. National Return to Work Survey – Headline Measures Report. 2018 Oct. Melbourne, Victoria, Aust</w:t>
            </w:r>
            <w:r w:rsidR="0094759D">
              <w:rPr>
                <w:rFonts w:cs="Arial"/>
                <w:sz w:val="16"/>
                <w:szCs w:val="16"/>
              </w:rPr>
              <w:t xml:space="preserve">ralia. </w:t>
            </w:r>
          </w:p>
        </w:tc>
        <w:tc>
          <w:tcPr>
            <w:tcW w:w="6450" w:type="dxa"/>
          </w:tcPr>
          <w:p w14:paraId="77F06ECD" w14:textId="77777777" w:rsidR="000C4ACA" w:rsidRPr="00A14123" w:rsidRDefault="00A14123" w:rsidP="0094759D">
            <w:pPr>
              <w:tabs>
                <w:tab w:val="left" w:pos="6691"/>
              </w:tabs>
              <w:spacing w:before="40" w:after="40"/>
              <w:cnfStyle w:val="000000000000" w:firstRow="0" w:lastRow="0" w:firstColumn="0" w:lastColumn="0" w:oddVBand="0" w:evenVBand="0" w:oddHBand="0" w:evenHBand="0" w:firstRowFirstColumn="0" w:firstRowLastColumn="0" w:lastRowFirstColumn="0" w:lastRowLastColumn="0"/>
              <w:rPr>
                <w:rFonts w:cs="Arial"/>
                <w:sz w:val="16"/>
                <w:szCs w:val="16"/>
                <w:shd w:val="clear" w:color="auto" w:fill="FFFFFF"/>
              </w:rPr>
            </w:pPr>
            <w:r w:rsidRPr="00A14123">
              <w:rPr>
                <w:rFonts w:cs="Arial"/>
                <w:sz w:val="16"/>
                <w:szCs w:val="16"/>
                <w:shd w:val="clear" w:color="auto" w:fill="FFFFFF"/>
              </w:rPr>
              <w:t xml:space="preserve">Latest NRTWS summary report showing long time series of reporting the </w:t>
            </w:r>
            <w:r w:rsidR="00F24173">
              <w:rPr>
                <w:rFonts w:cs="Arial"/>
                <w:sz w:val="16"/>
                <w:szCs w:val="16"/>
                <w:shd w:val="clear" w:color="auto" w:fill="FFFFFF"/>
              </w:rPr>
              <w:t>d</w:t>
            </w:r>
            <w:r w:rsidRPr="00A14123">
              <w:rPr>
                <w:rFonts w:cs="Arial"/>
                <w:sz w:val="16"/>
                <w:szCs w:val="16"/>
                <w:shd w:val="clear" w:color="auto" w:fill="FFFFFF"/>
              </w:rPr>
              <w:t xml:space="preserve">urable </w:t>
            </w:r>
            <w:r>
              <w:rPr>
                <w:rFonts w:cs="Arial"/>
                <w:sz w:val="16"/>
                <w:szCs w:val="16"/>
                <w:shd w:val="clear" w:color="auto" w:fill="FFFFFF"/>
              </w:rPr>
              <w:t>return to work</w:t>
            </w:r>
            <w:r w:rsidRPr="00A14123">
              <w:rPr>
                <w:rFonts w:cs="Arial"/>
                <w:sz w:val="16"/>
                <w:szCs w:val="16"/>
                <w:shd w:val="clear" w:color="auto" w:fill="FFFFFF"/>
              </w:rPr>
              <w:t xml:space="preserve"> outcome as one of the primary national performance measures. </w:t>
            </w:r>
          </w:p>
        </w:tc>
      </w:tr>
      <w:tr w:rsidR="00A14123" w:rsidRPr="006323ED" w14:paraId="5C4871CC" w14:textId="77777777" w:rsidTr="0094759D">
        <w:tc>
          <w:tcPr>
            <w:cnfStyle w:val="001000000000" w:firstRow="0" w:lastRow="0" w:firstColumn="1" w:lastColumn="0" w:oddVBand="0" w:evenVBand="0" w:oddHBand="0" w:evenHBand="0" w:firstRowFirstColumn="0" w:firstRowLastColumn="0" w:lastRowFirstColumn="0" w:lastRowLastColumn="0"/>
            <w:tcW w:w="2268" w:type="dxa"/>
            <w:vAlign w:val="center"/>
          </w:tcPr>
          <w:p w14:paraId="371B4B99" w14:textId="77777777" w:rsidR="00A14123" w:rsidRPr="0041166A" w:rsidRDefault="00A14123" w:rsidP="0094759D">
            <w:pPr>
              <w:tabs>
                <w:tab w:val="left" w:pos="6691"/>
              </w:tabs>
              <w:rPr>
                <w:rFonts w:cs="Arial"/>
                <w:sz w:val="16"/>
                <w:szCs w:val="16"/>
              </w:rPr>
            </w:pPr>
            <w:r w:rsidRPr="0041166A">
              <w:rPr>
                <w:rFonts w:cs="Arial"/>
                <w:sz w:val="16"/>
                <w:szCs w:val="16"/>
              </w:rPr>
              <w:t xml:space="preserve">General </w:t>
            </w:r>
            <w:r w:rsidR="0094759D">
              <w:rPr>
                <w:rFonts w:cs="Arial"/>
                <w:sz w:val="16"/>
                <w:szCs w:val="16"/>
              </w:rPr>
              <w:t>h</w:t>
            </w:r>
            <w:r w:rsidRPr="0041166A">
              <w:rPr>
                <w:rFonts w:cs="Arial"/>
                <w:sz w:val="16"/>
                <w:szCs w:val="16"/>
              </w:rPr>
              <w:t>ealth</w:t>
            </w:r>
            <w:r w:rsidR="0094759D">
              <w:rPr>
                <w:rFonts w:cs="Arial"/>
                <w:sz w:val="16"/>
                <w:szCs w:val="16"/>
              </w:rPr>
              <w:t xml:space="preserve"> (recovery)</w:t>
            </w:r>
          </w:p>
        </w:tc>
        <w:tc>
          <w:tcPr>
            <w:tcW w:w="6450" w:type="dxa"/>
            <w:vAlign w:val="center"/>
          </w:tcPr>
          <w:p w14:paraId="2D2FF62A" w14:textId="77777777" w:rsidR="00A14123" w:rsidRPr="00A14123" w:rsidRDefault="00A14123" w:rsidP="0094759D">
            <w:pPr>
              <w:tabs>
                <w:tab w:val="left" w:pos="6691"/>
              </w:tabs>
              <w:spacing w:before="40" w:after="40"/>
              <w:cnfStyle w:val="000000000000" w:firstRow="0" w:lastRow="0" w:firstColumn="0" w:lastColumn="0" w:oddVBand="0" w:evenVBand="0" w:oddHBand="0" w:evenHBand="0" w:firstRowFirstColumn="0" w:firstRowLastColumn="0" w:lastRowFirstColumn="0" w:lastRowLastColumn="0"/>
              <w:rPr>
                <w:rFonts w:cs="Arial"/>
                <w:sz w:val="16"/>
                <w:szCs w:val="16"/>
              </w:rPr>
            </w:pPr>
            <w:r w:rsidRPr="00A14123">
              <w:rPr>
                <w:rFonts w:cs="Arial"/>
                <w:sz w:val="16"/>
                <w:szCs w:val="16"/>
              </w:rPr>
              <w:t xml:space="preserve">Royal Australasian College of Physicians. Realising the Health Benefits of Work: A Position Statement. 2011 Oct. </w:t>
            </w:r>
          </w:p>
          <w:p w14:paraId="24036AF9" w14:textId="77777777" w:rsidR="00A14123" w:rsidRPr="00A14123" w:rsidRDefault="004F2B64" w:rsidP="0094759D">
            <w:pPr>
              <w:shd w:val="clear" w:color="auto" w:fill="FFFFFF"/>
              <w:spacing w:before="40" w:after="40"/>
              <w:cnfStyle w:val="000000000000" w:firstRow="0" w:lastRow="0" w:firstColumn="0" w:lastColumn="0" w:oddVBand="0" w:evenVBand="0" w:oddHBand="0" w:evenHBand="0" w:firstRowFirstColumn="0" w:firstRowLastColumn="0" w:lastRowFirstColumn="0" w:lastRowLastColumn="0"/>
              <w:rPr>
                <w:rFonts w:cs="Arial"/>
                <w:sz w:val="16"/>
                <w:szCs w:val="16"/>
              </w:rPr>
            </w:pPr>
            <w:hyperlink r:id="rId28" w:history="1">
              <w:r w:rsidR="00A14123" w:rsidRPr="00A14123">
                <w:rPr>
                  <w:rFonts w:cs="Arial"/>
                  <w:sz w:val="16"/>
                  <w:szCs w:val="16"/>
                </w:rPr>
                <w:t>Rueda S</w:t>
              </w:r>
            </w:hyperlink>
            <w:r w:rsidR="00A14123" w:rsidRPr="00A14123">
              <w:rPr>
                <w:rFonts w:cs="Arial"/>
                <w:sz w:val="16"/>
                <w:szCs w:val="16"/>
              </w:rPr>
              <w:t>, </w:t>
            </w:r>
            <w:hyperlink r:id="rId29" w:history="1">
              <w:r w:rsidR="00A14123" w:rsidRPr="00A14123">
                <w:rPr>
                  <w:rFonts w:cs="Arial"/>
                  <w:sz w:val="16"/>
                  <w:szCs w:val="16"/>
                </w:rPr>
                <w:t>Chambers L</w:t>
              </w:r>
            </w:hyperlink>
            <w:r w:rsidR="00A14123" w:rsidRPr="00A14123">
              <w:rPr>
                <w:rFonts w:cs="Arial"/>
                <w:sz w:val="16"/>
                <w:szCs w:val="16"/>
              </w:rPr>
              <w:t>, </w:t>
            </w:r>
            <w:hyperlink r:id="rId30" w:history="1">
              <w:r w:rsidR="00A14123" w:rsidRPr="00A14123">
                <w:rPr>
                  <w:rFonts w:cs="Arial"/>
                  <w:sz w:val="16"/>
                  <w:szCs w:val="16"/>
                </w:rPr>
                <w:t>Wilson M</w:t>
              </w:r>
            </w:hyperlink>
            <w:r w:rsidR="00A14123" w:rsidRPr="00A14123">
              <w:rPr>
                <w:rFonts w:cs="Arial"/>
                <w:sz w:val="16"/>
                <w:szCs w:val="16"/>
              </w:rPr>
              <w:t>, </w:t>
            </w:r>
            <w:hyperlink r:id="rId31" w:history="1">
              <w:r w:rsidR="00A14123" w:rsidRPr="00A14123">
                <w:rPr>
                  <w:rFonts w:cs="Arial"/>
                  <w:sz w:val="16"/>
                  <w:szCs w:val="16"/>
                </w:rPr>
                <w:t>Mustard C</w:t>
              </w:r>
            </w:hyperlink>
            <w:r w:rsidR="00A14123" w:rsidRPr="00A14123">
              <w:rPr>
                <w:rFonts w:cs="Arial"/>
                <w:sz w:val="16"/>
                <w:szCs w:val="16"/>
              </w:rPr>
              <w:t>, </w:t>
            </w:r>
            <w:hyperlink r:id="rId32" w:history="1">
              <w:r w:rsidR="00A14123" w:rsidRPr="00A14123">
                <w:rPr>
                  <w:rFonts w:cs="Arial"/>
                  <w:sz w:val="16"/>
                  <w:szCs w:val="16"/>
                </w:rPr>
                <w:t>Rourke SB</w:t>
              </w:r>
            </w:hyperlink>
            <w:r w:rsidR="00A14123" w:rsidRPr="00A14123">
              <w:rPr>
                <w:rFonts w:cs="Arial"/>
                <w:sz w:val="16"/>
                <w:szCs w:val="16"/>
              </w:rPr>
              <w:t>, </w:t>
            </w:r>
            <w:proofErr w:type="spellStart"/>
            <w:r w:rsidR="002D5560">
              <w:fldChar w:fldCharType="begin"/>
            </w:r>
            <w:r w:rsidR="002D5560">
              <w:instrText xml:space="preserve"> HYPERLINK "https://www.ncbi.nlm.nih.gov/pubmed/?term=Bayoumi%20A%5BAuthor%5D&amp;cauthor=true&amp;cauthor_uid=22390520" </w:instrText>
            </w:r>
            <w:r w:rsidR="002D5560">
              <w:fldChar w:fldCharType="separate"/>
            </w:r>
            <w:r w:rsidR="00A14123" w:rsidRPr="00A14123">
              <w:rPr>
                <w:rFonts w:cs="Arial"/>
                <w:sz w:val="16"/>
                <w:szCs w:val="16"/>
              </w:rPr>
              <w:t>Bayoumi</w:t>
            </w:r>
            <w:proofErr w:type="spellEnd"/>
            <w:r w:rsidR="00A14123" w:rsidRPr="00A14123">
              <w:rPr>
                <w:rFonts w:cs="Arial"/>
                <w:sz w:val="16"/>
                <w:szCs w:val="16"/>
              </w:rPr>
              <w:t xml:space="preserve"> A</w:t>
            </w:r>
            <w:r w:rsidR="002D5560">
              <w:rPr>
                <w:rFonts w:cs="Arial"/>
                <w:sz w:val="16"/>
                <w:szCs w:val="16"/>
              </w:rPr>
              <w:fldChar w:fldCharType="end"/>
            </w:r>
            <w:r w:rsidR="00A14123" w:rsidRPr="00A14123">
              <w:rPr>
                <w:rFonts w:cs="Arial"/>
                <w:sz w:val="16"/>
                <w:szCs w:val="16"/>
              </w:rPr>
              <w:t>, </w:t>
            </w:r>
            <w:proofErr w:type="spellStart"/>
            <w:r w:rsidR="002D5560">
              <w:fldChar w:fldCharType="begin"/>
            </w:r>
            <w:r w:rsidR="002D5560">
              <w:instrText xml:space="preserve"> HYPERLINK "https://www.ncbi.nlm.nih.gov/pubmed/?term=Raboud%20J%5BAuthor%5D&amp;cauthor=true&amp;cauthor_uid=22390520" </w:instrText>
            </w:r>
            <w:r w:rsidR="002D5560">
              <w:fldChar w:fldCharType="separate"/>
            </w:r>
            <w:r w:rsidR="00A14123" w:rsidRPr="00A14123">
              <w:rPr>
                <w:rFonts w:cs="Arial"/>
                <w:sz w:val="16"/>
                <w:szCs w:val="16"/>
              </w:rPr>
              <w:t>Raboud</w:t>
            </w:r>
            <w:proofErr w:type="spellEnd"/>
            <w:r w:rsidR="00A14123" w:rsidRPr="00A14123">
              <w:rPr>
                <w:rFonts w:cs="Arial"/>
                <w:sz w:val="16"/>
                <w:szCs w:val="16"/>
              </w:rPr>
              <w:t xml:space="preserve"> J</w:t>
            </w:r>
            <w:r w:rsidR="002D5560">
              <w:rPr>
                <w:rFonts w:cs="Arial"/>
                <w:sz w:val="16"/>
                <w:szCs w:val="16"/>
              </w:rPr>
              <w:fldChar w:fldCharType="end"/>
            </w:r>
            <w:r w:rsidR="00A14123" w:rsidRPr="00A14123">
              <w:rPr>
                <w:rFonts w:cs="Arial"/>
                <w:sz w:val="16"/>
                <w:szCs w:val="16"/>
              </w:rPr>
              <w:t>, </w:t>
            </w:r>
            <w:proofErr w:type="spellStart"/>
            <w:r w:rsidR="002D5560">
              <w:fldChar w:fldCharType="begin"/>
            </w:r>
            <w:r w:rsidR="002D5560">
              <w:instrText xml:space="preserve"> HYPERLINK "https://www.ncbi.nlm.nih.gov/pubmed/?term=Lavis%20J%5BAuthor%5D&amp;cauthor=true&amp;cauthor_uid=22390520" </w:instrText>
            </w:r>
            <w:r w:rsidR="002D5560">
              <w:fldChar w:fldCharType="separate"/>
            </w:r>
            <w:r w:rsidR="00A14123" w:rsidRPr="00A14123">
              <w:rPr>
                <w:rFonts w:cs="Arial"/>
                <w:sz w:val="16"/>
                <w:szCs w:val="16"/>
              </w:rPr>
              <w:t>Lavis</w:t>
            </w:r>
            <w:proofErr w:type="spellEnd"/>
            <w:r w:rsidR="00A14123" w:rsidRPr="00A14123">
              <w:rPr>
                <w:rFonts w:cs="Arial"/>
                <w:sz w:val="16"/>
                <w:szCs w:val="16"/>
              </w:rPr>
              <w:t xml:space="preserve"> J</w:t>
            </w:r>
            <w:r w:rsidR="002D5560">
              <w:rPr>
                <w:rFonts w:cs="Arial"/>
                <w:sz w:val="16"/>
                <w:szCs w:val="16"/>
              </w:rPr>
              <w:fldChar w:fldCharType="end"/>
            </w:r>
            <w:r w:rsidR="00A14123" w:rsidRPr="00A14123">
              <w:rPr>
                <w:rFonts w:cs="Arial"/>
                <w:sz w:val="16"/>
                <w:szCs w:val="16"/>
              </w:rPr>
              <w:t xml:space="preserve">. Association of returning to work with better health in working-aged adults: a systematic review. </w:t>
            </w:r>
            <w:hyperlink r:id="rId33" w:tooltip="American journal of public health." w:history="1">
              <w:r w:rsidR="00A14123" w:rsidRPr="00A14123">
                <w:rPr>
                  <w:rFonts w:cs="Arial"/>
                  <w:sz w:val="16"/>
                  <w:szCs w:val="16"/>
                </w:rPr>
                <w:t>Am J Public Health.</w:t>
              </w:r>
            </w:hyperlink>
            <w:r w:rsidR="00A14123" w:rsidRPr="00A14123">
              <w:rPr>
                <w:rFonts w:cs="Arial"/>
                <w:sz w:val="16"/>
                <w:szCs w:val="16"/>
              </w:rPr>
              <w:t> 2012 Mar;102(3):541-56.</w:t>
            </w:r>
          </w:p>
        </w:tc>
        <w:tc>
          <w:tcPr>
            <w:tcW w:w="6450" w:type="dxa"/>
          </w:tcPr>
          <w:p w14:paraId="322B9166" w14:textId="77777777" w:rsidR="00A14123" w:rsidRPr="00A14123" w:rsidRDefault="00A14123" w:rsidP="0094759D">
            <w:pPr>
              <w:tabs>
                <w:tab w:val="left" w:pos="6691"/>
              </w:tabs>
              <w:spacing w:before="40" w:after="40"/>
              <w:cnfStyle w:val="000000000000" w:firstRow="0" w:lastRow="0" w:firstColumn="0" w:lastColumn="0" w:oddVBand="0" w:evenVBand="0" w:oddHBand="0" w:evenHBand="0" w:firstRowFirstColumn="0" w:firstRowLastColumn="0" w:lastRowFirstColumn="0" w:lastRowLastColumn="0"/>
              <w:rPr>
                <w:rFonts w:cs="Arial"/>
                <w:sz w:val="16"/>
                <w:szCs w:val="16"/>
                <w:shd w:val="clear" w:color="auto" w:fill="FFFFFF"/>
              </w:rPr>
            </w:pPr>
            <w:r w:rsidRPr="00A14123">
              <w:rPr>
                <w:rFonts w:cs="Arial"/>
                <w:sz w:val="16"/>
                <w:szCs w:val="16"/>
                <w:shd w:val="clear" w:color="auto" w:fill="FFFFFF"/>
              </w:rPr>
              <w:lastRenderedPageBreak/>
              <w:t xml:space="preserve">Reports strong link between work and health and summarised international evidence in the field. </w:t>
            </w:r>
          </w:p>
          <w:p w14:paraId="4C75BFB5" w14:textId="77777777" w:rsidR="00A14123" w:rsidRPr="00A14123" w:rsidRDefault="0094759D" w:rsidP="0094759D">
            <w:pPr>
              <w:tabs>
                <w:tab w:val="left" w:pos="6691"/>
              </w:tabs>
              <w:spacing w:before="40" w:after="40"/>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D</w:t>
            </w:r>
            <w:r w:rsidR="00A14123" w:rsidRPr="00A14123">
              <w:rPr>
                <w:rFonts w:cs="Arial"/>
                <w:sz w:val="16"/>
                <w:szCs w:val="16"/>
              </w:rPr>
              <w:t xml:space="preserve">emonstrates the connection between better health and returning to work through review of quality international studies. </w:t>
            </w:r>
          </w:p>
        </w:tc>
      </w:tr>
      <w:tr w:rsidR="00A14123" w:rsidRPr="006323ED" w14:paraId="07772439" w14:textId="77777777" w:rsidTr="0094759D">
        <w:tc>
          <w:tcPr>
            <w:cnfStyle w:val="001000000000" w:firstRow="0" w:lastRow="0" w:firstColumn="1" w:lastColumn="0" w:oddVBand="0" w:evenVBand="0" w:oddHBand="0" w:evenHBand="0" w:firstRowFirstColumn="0" w:firstRowLastColumn="0" w:lastRowFirstColumn="0" w:lastRowLastColumn="0"/>
            <w:tcW w:w="2268" w:type="dxa"/>
            <w:vAlign w:val="center"/>
          </w:tcPr>
          <w:p w14:paraId="6242804A" w14:textId="77777777" w:rsidR="00A14123" w:rsidRPr="0041166A" w:rsidRDefault="00A14123" w:rsidP="00A14123">
            <w:pPr>
              <w:tabs>
                <w:tab w:val="left" w:pos="6691"/>
              </w:tabs>
              <w:rPr>
                <w:rFonts w:cs="Arial"/>
                <w:color w:val="FF0000"/>
                <w:sz w:val="16"/>
                <w:szCs w:val="16"/>
              </w:rPr>
            </w:pPr>
            <w:r w:rsidRPr="0041166A">
              <w:rPr>
                <w:rFonts w:cs="Arial"/>
                <w:sz w:val="16"/>
                <w:szCs w:val="16"/>
              </w:rPr>
              <w:lastRenderedPageBreak/>
              <w:t>Work role functioning</w:t>
            </w:r>
            <w:r w:rsidR="0094759D">
              <w:rPr>
                <w:rFonts w:cs="Arial"/>
                <w:sz w:val="16"/>
                <w:szCs w:val="16"/>
              </w:rPr>
              <w:t xml:space="preserve"> (recovery)</w:t>
            </w:r>
          </w:p>
        </w:tc>
        <w:tc>
          <w:tcPr>
            <w:tcW w:w="6450" w:type="dxa"/>
            <w:vAlign w:val="center"/>
          </w:tcPr>
          <w:p w14:paraId="2C408747" w14:textId="77777777" w:rsidR="00A14123" w:rsidRPr="00A14123" w:rsidRDefault="004F2B64" w:rsidP="0094759D">
            <w:pPr>
              <w:pStyle w:val="Heading1"/>
              <w:shd w:val="clear" w:color="auto" w:fill="FFFFFF"/>
              <w:spacing w:before="40" w:after="40"/>
              <w:outlineLvl w:val="0"/>
              <w:cnfStyle w:val="000000000000" w:firstRow="0" w:lastRow="0" w:firstColumn="0" w:lastColumn="0" w:oddVBand="0" w:evenVBand="0" w:oddHBand="0" w:evenHBand="0" w:firstRowFirstColumn="0" w:firstRowLastColumn="0" w:lastRowFirstColumn="0" w:lastRowLastColumn="0"/>
              <w:rPr>
                <w:rFonts w:cs="Arial"/>
                <w:b w:val="0"/>
                <w:sz w:val="16"/>
                <w:szCs w:val="16"/>
                <w:shd w:val="clear" w:color="auto" w:fill="FFFFFF"/>
              </w:rPr>
            </w:pPr>
            <w:hyperlink r:id="rId34" w:history="1">
              <w:proofErr w:type="spellStart"/>
              <w:r w:rsidR="00A14123" w:rsidRPr="00A14123">
                <w:rPr>
                  <w:rFonts w:eastAsiaTheme="minorHAnsi" w:cs="Arial"/>
                  <w:b w:val="0"/>
                  <w:color w:val="auto"/>
                  <w:sz w:val="16"/>
                  <w:szCs w:val="16"/>
                </w:rPr>
                <w:t>Abma</w:t>
              </w:r>
              <w:proofErr w:type="spellEnd"/>
              <w:r w:rsidR="00A14123" w:rsidRPr="00A14123">
                <w:rPr>
                  <w:rFonts w:eastAsiaTheme="minorHAnsi" w:cs="Arial"/>
                  <w:b w:val="0"/>
                  <w:color w:val="auto"/>
                  <w:sz w:val="16"/>
                  <w:szCs w:val="16"/>
                </w:rPr>
                <w:t xml:space="preserve"> F</w:t>
              </w:r>
            </w:hyperlink>
            <w:r w:rsidR="00A14123" w:rsidRPr="00A14123">
              <w:rPr>
                <w:rFonts w:eastAsiaTheme="minorHAnsi" w:cs="Arial"/>
                <w:b w:val="0"/>
                <w:color w:val="auto"/>
                <w:sz w:val="16"/>
                <w:szCs w:val="16"/>
              </w:rPr>
              <w:t>, </w:t>
            </w:r>
            <w:proofErr w:type="spellStart"/>
            <w:r w:rsidR="002D5560">
              <w:fldChar w:fldCharType="begin"/>
            </w:r>
            <w:r w:rsidR="002D5560">
              <w:instrText xml:space="preserve"> HYPERLINK "https://www.ncbi.nlm.nih.gov/pubmed/?term=Bjorner%20JB%5BAuthor%5D&amp;cauthor=true&amp;cauthor_uid=30253219" </w:instrText>
            </w:r>
            <w:r w:rsidR="002D5560">
              <w:fldChar w:fldCharType="separate"/>
            </w:r>
            <w:r w:rsidR="00A14123" w:rsidRPr="00A14123">
              <w:rPr>
                <w:rFonts w:eastAsiaTheme="minorHAnsi" w:cs="Arial"/>
                <w:b w:val="0"/>
                <w:color w:val="auto"/>
                <w:sz w:val="16"/>
                <w:szCs w:val="16"/>
              </w:rPr>
              <w:t>Bjorner</w:t>
            </w:r>
            <w:proofErr w:type="spellEnd"/>
            <w:r w:rsidR="00A14123" w:rsidRPr="00A14123">
              <w:rPr>
                <w:rFonts w:eastAsiaTheme="minorHAnsi" w:cs="Arial"/>
                <w:b w:val="0"/>
                <w:color w:val="auto"/>
                <w:sz w:val="16"/>
                <w:szCs w:val="16"/>
              </w:rPr>
              <w:t xml:space="preserve"> JB</w:t>
            </w:r>
            <w:r w:rsidR="002D5560">
              <w:rPr>
                <w:rFonts w:eastAsiaTheme="minorHAnsi" w:cs="Arial"/>
                <w:b w:val="0"/>
                <w:color w:val="auto"/>
                <w:sz w:val="16"/>
                <w:szCs w:val="16"/>
              </w:rPr>
              <w:fldChar w:fldCharType="end"/>
            </w:r>
            <w:r w:rsidR="00A14123" w:rsidRPr="00A14123">
              <w:rPr>
                <w:rFonts w:eastAsiaTheme="minorHAnsi" w:cs="Arial"/>
                <w:b w:val="0"/>
                <w:color w:val="auto"/>
                <w:sz w:val="16"/>
                <w:szCs w:val="16"/>
              </w:rPr>
              <w:t>, </w:t>
            </w:r>
            <w:hyperlink r:id="rId35" w:history="1">
              <w:r w:rsidR="00A14123" w:rsidRPr="00A14123">
                <w:rPr>
                  <w:rFonts w:eastAsiaTheme="minorHAnsi" w:cs="Arial"/>
                  <w:b w:val="0"/>
                  <w:color w:val="auto"/>
                  <w:sz w:val="16"/>
                  <w:szCs w:val="16"/>
                </w:rPr>
                <w:t>Amick BC 3rd</w:t>
              </w:r>
            </w:hyperlink>
            <w:r w:rsidR="00A14123" w:rsidRPr="00A14123">
              <w:rPr>
                <w:rFonts w:eastAsiaTheme="minorHAnsi" w:cs="Arial"/>
                <w:b w:val="0"/>
                <w:color w:val="auto"/>
                <w:sz w:val="16"/>
                <w:szCs w:val="16"/>
              </w:rPr>
              <w:t>, </w:t>
            </w:r>
            <w:proofErr w:type="spellStart"/>
            <w:r w:rsidR="002D5560">
              <w:fldChar w:fldCharType="begin"/>
            </w:r>
            <w:r w:rsidR="002D5560">
              <w:instrText xml:space="preserve"> HYPERLINK "https://www.ncbi.nlm.nih.gov/pubmed/?term=B%C3%BCltmann%20U%5BAuthor%5D&amp;cauthor=true&amp;cauthor_uid=30253219" </w:instrText>
            </w:r>
            <w:r w:rsidR="002D5560">
              <w:fldChar w:fldCharType="separate"/>
            </w:r>
            <w:r w:rsidR="00A14123" w:rsidRPr="00A14123">
              <w:rPr>
                <w:rFonts w:eastAsiaTheme="minorHAnsi" w:cs="Arial"/>
                <w:b w:val="0"/>
                <w:color w:val="auto"/>
                <w:sz w:val="16"/>
                <w:szCs w:val="16"/>
              </w:rPr>
              <w:t>Bültmann</w:t>
            </w:r>
            <w:proofErr w:type="spellEnd"/>
            <w:r w:rsidR="00A14123" w:rsidRPr="00A14123">
              <w:rPr>
                <w:rFonts w:eastAsiaTheme="minorHAnsi" w:cs="Arial"/>
                <w:b w:val="0"/>
                <w:color w:val="auto"/>
                <w:sz w:val="16"/>
                <w:szCs w:val="16"/>
              </w:rPr>
              <w:t xml:space="preserve"> </w:t>
            </w:r>
            <w:proofErr w:type="spellStart"/>
            <w:r w:rsidR="00A14123" w:rsidRPr="00A14123">
              <w:rPr>
                <w:rFonts w:eastAsiaTheme="minorHAnsi" w:cs="Arial"/>
                <w:b w:val="0"/>
                <w:color w:val="auto"/>
                <w:sz w:val="16"/>
                <w:szCs w:val="16"/>
              </w:rPr>
              <w:t>U</w:t>
            </w:r>
            <w:r w:rsidR="002D5560">
              <w:rPr>
                <w:rFonts w:eastAsiaTheme="minorHAnsi" w:cs="Arial"/>
                <w:b w:val="0"/>
                <w:color w:val="auto"/>
                <w:sz w:val="16"/>
                <w:szCs w:val="16"/>
              </w:rPr>
              <w:fldChar w:fldCharType="end"/>
            </w:r>
            <w:r w:rsidR="00A14123" w:rsidRPr="00A14123">
              <w:rPr>
                <w:rFonts w:eastAsiaTheme="minorHAnsi" w:cs="Arial"/>
                <w:b w:val="0"/>
                <w:color w:val="auto"/>
                <w:sz w:val="16"/>
                <w:szCs w:val="16"/>
              </w:rPr>
              <w:t>.Two</w:t>
            </w:r>
            <w:proofErr w:type="spellEnd"/>
            <w:r w:rsidR="00A14123" w:rsidRPr="00A14123">
              <w:rPr>
                <w:rFonts w:eastAsiaTheme="minorHAnsi" w:cs="Arial"/>
                <w:b w:val="0"/>
                <w:color w:val="auto"/>
                <w:sz w:val="16"/>
                <w:szCs w:val="16"/>
              </w:rPr>
              <w:t xml:space="preserve"> valid and reliable work role functioning questionnaire short versions were developed: WRFQ 5 and WRFQ 10. </w:t>
            </w:r>
            <w:hyperlink r:id="rId36" w:tooltip="Journal of clinical epidemiology." w:history="1">
              <w:r w:rsidR="00A14123" w:rsidRPr="00A14123">
                <w:rPr>
                  <w:rFonts w:eastAsiaTheme="minorHAnsi" w:cs="Arial"/>
                  <w:b w:val="0"/>
                  <w:color w:val="auto"/>
                  <w:sz w:val="16"/>
                  <w:szCs w:val="16"/>
                </w:rPr>
                <w:t>J Clin Epidemiol.</w:t>
              </w:r>
            </w:hyperlink>
            <w:r w:rsidR="00A14123" w:rsidRPr="00A14123">
              <w:rPr>
                <w:rFonts w:eastAsiaTheme="minorHAnsi" w:cs="Arial"/>
                <w:b w:val="0"/>
                <w:color w:val="auto"/>
                <w:sz w:val="16"/>
                <w:szCs w:val="16"/>
              </w:rPr>
              <w:t> 2019 Jan;105:101-111</w:t>
            </w:r>
          </w:p>
        </w:tc>
        <w:tc>
          <w:tcPr>
            <w:tcW w:w="6450" w:type="dxa"/>
          </w:tcPr>
          <w:p w14:paraId="429273F4" w14:textId="77777777" w:rsidR="00A14123" w:rsidRPr="00A14123" w:rsidRDefault="00A14123" w:rsidP="0094759D">
            <w:pPr>
              <w:tabs>
                <w:tab w:val="left" w:pos="6691"/>
              </w:tabs>
              <w:spacing w:before="40" w:after="40"/>
              <w:cnfStyle w:val="000000000000" w:firstRow="0" w:lastRow="0" w:firstColumn="0" w:lastColumn="0" w:oddVBand="0" w:evenVBand="0" w:oddHBand="0" w:evenHBand="0" w:firstRowFirstColumn="0" w:firstRowLastColumn="0" w:lastRowFirstColumn="0" w:lastRowLastColumn="0"/>
              <w:rPr>
                <w:rFonts w:cs="Arial"/>
                <w:sz w:val="16"/>
                <w:szCs w:val="16"/>
                <w:shd w:val="clear" w:color="auto" w:fill="FFFFFF"/>
              </w:rPr>
            </w:pPr>
            <w:r w:rsidRPr="00A14123">
              <w:rPr>
                <w:rFonts w:cs="Arial"/>
                <w:sz w:val="16"/>
                <w:szCs w:val="16"/>
                <w:shd w:val="clear" w:color="auto" w:fill="FFFFFF"/>
              </w:rPr>
              <w:t xml:space="preserve">Study describing the development of the 5-item version of the Work Role Functioning Questionnaire, from the initial longer 27 item version. The 5-item version is included in the NRTWS. </w:t>
            </w:r>
          </w:p>
        </w:tc>
      </w:tr>
      <w:tr w:rsidR="00A14123" w:rsidRPr="006323ED" w14:paraId="0D375445" w14:textId="77777777" w:rsidTr="0094759D">
        <w:tc>
          <w:tcPr>
            <w:cnfStyle w:val="001000000000" w:firstRow="0" w:lastRow="0" w:firstColumn="1" w:lastColumn="0" w:oddVBand="0" w:evenVBand="0" w:oddHBand="0" w:evenHBand="0" w:firstRowFirstColumn="0" w:firstRowLastColumn="0" w:lastRowFirstColumn="0" w:lastRowLastColumn="0"/>
            <w:tcW w:w="2268" w:type="dxa"/>
            <w:vAlign w:val="center"/>
          </w:tcPr>
          <w:p w14:paraId="00B54440" w14:textId="77777777" w:rsidR="00A14123" w:rsidRPr="0041166A" w:rsidRDefault="00A14123" w:rsidP="00A14123">
            <w:pPr>
              <w:tabs>
                <w:tab w:val="left" w:pos="6691"/>
              </w:tabs>
              <w:rPr>
                <w:rFonts w:cs="Arial"/>
                <w:bCs w:val="0"/>
                <w:sz w:val="16"/>
                <w:szCs w:val="16"/>
              </w:rPr>
            </w:pPr>
            <w:r w:rsidRPr="0041166A">
              <w:rPr>
                <w:rFonts w:cs="Arial"/>
                <w:bCs w:val="0"/>
                <w:sz w:val="16"/>
                <w:szCs w:val="16"/>
              </w:rPr>
              <w:t>Stay at work</w:t>
            </w:r>
          </w:p>
        </w:tc>
        <w:tc>
          <w:tcPr>
            <w:tcW w:w="6450" w:type="dxa"/>
            <w:vAlign w:val="center"/>
          </w:tcPr>
          <w:p w14:paraId="4507FECD" w14:textId="77777777" w:rsidR="00A14123" w:rsidRPr="0094759D" w:rsidRDefault="004F2B64" w:rsidP="0094759D">
            <w:pPr>
              <w:pStyle w:val="Heading1"/>
              <w:shd w:val="clear" w:color="auto" w:fill="FFFFFF"/>
              <w:spacing w:before="40" w:after="40"/>
              <w:outlineLvl w:val="0"/>
              <w:cnfStyle w:val="000000000000" w:firstRow="0" w:lastRow="0" w:firstColumn="0" w:lastColumn="0" w:oddVBand="0" w:evenVBand="0" w:oddHBand="0" w:evenHBand="0" w:firstRowFirstColumn="0" w:firstRowLastColumn="0" w:lastRowFirstColumn="0" w:lastRowLastColumn="0"/>
              <w:rPr>
                <w:rFonts w:eastAsiaTheme="minorHAnsi" w:cs="Arial"/>
                <w:b w:val="0"/>
                <w:color w:val="auto"/>
                <w:sz w:val="16"/>
                <w:szCs w:val="16"/>
              </w:rPr>
            </w:pPr>
            <w:hyperlink r:id="rId37" w:history="1">
              <w:r w:rsidR="00A14123" w:rsidRPr="00A14123">
                <w:rPr>
                  <w:rFonts w:eastAsiaTheme="minorHAnsi" w:cs="Arial"/>
                  <w:b w:val="0"/>
                  <w:color w:val="auto"/>
                  <w:sz w:val="16"/>
                  <w:szCs w:val="16"/>
                </w:rPr>
                <w:t>de Vries HJ</w:t>
              </w:r>
            </w:hyperlink>
            <w:r w:rsidR="00A14123" w:rsidRPr="00A14123">
              <w:rPr>
                <w:rFonts w:eastAsiaTheme="minorHAnsi" w:cs="Arial"/>
                <w:b w:val="0"/>
                <w:color w:val="auto"/>
                <w:sz w:val="16"/>
                <w:szCs w:val="16"/>
              </w:rPr>
              <w:t>, </w:t>
            </w:r>
            <w:proofErr w:type="spellStart"/>
            <w:r w:rsidR="002D5560">
              <w:fldChar w:fldCharType="begin"/>
            </w:r>
            <w:r w:rsidR="002D5560">
              <w:instrText xml:space="preserve"> HYPERLINK "https://www.ncbi.nlm.nih.gov/pubmed/?term=Reneman%20MF%5BAuthor%5D&amp;cauthor=true&amp;cauthor_uid=22454300" </w:instrText>
            </w:r>
            <w:r w:rsidR="002D5560">
              <w:fldChar w:fldCharType="separate"/>
            </w:r>
            <w:r w:rsidR="00A14123" w:rsidRPr="00A14123">
              <w:rPr>
                <w:rFonts w:eastAsiaTheme="minorHAnsi" w:cs="Arial"/>
                <w:b w:val="0"/>
                <w:color w:val="auto"/>
                <w:sz w:val="16"/>
                <w:szCs w:val="16"/>
              </w:rPr>
              <w:t>Reneman</w:t>
            </w:r>
            <w:proofErr w:type="spellEnd"/>
            <w:r w:rsidR="00A14123" w:rsidRPr="00A14123">
              <w:rPr>
                <w:rFonts w:eastAsiaTheme="minorHAnsi" w:cs="Arial"/>
                <w:b w:val="0"/>
                <w:color w:val="auto"/>
                <w:sz w:val="16"/>
                <w:szCs w:val="16"/>
              </w:rPr>
              <w:t xml:space="preserve"> MF</w:t>
            </w:r>
            <w:r w:rsidR="002D5560">
              <w:rPr>
                <w:rFonts w:eastAsiaTheme="minorHAnsi" w:cs="Arial"/>
                <w:b w:val="0"/>
                <w:color w:val="auto"/>
                <w:sz w:val="16"/>
                <w:szCs w:val="16"/>
              </w:rPr>
              <w:fldChar w:fldCharType="end"/>
            </w:r>
            <w:r w:rsidR="00A14123" w:rsidRPr="00A14123">
              <w:rPr>
                <w:rFonts w:eastAsiaTheme="minorHAnsi" w:cs="Arial"/>
                <w:b w:val="0"/>
                <w:color w:val="auto"/>
                <w:sz w:val="16"/>
                <w:szCs w:val="16"/>
              </w:rPr>
              <w:t>, </w:t>
            </w:r>
            <w:proofErr w:type="spellStart"/>
            <w:r w:rsidR="002D5560">
              <w:fldChar w:fldCharType="begin"/>
            </w:r>
            <w:r w:rsidR="002D5560">
              <w:instrText xml:space="preserve"> HYPERLINK "https://www.ncbi.nlm.nih.gov/pubmed/?term=Groothoff%20JW%5BAuthor%5D&amp;cauthor=true&amp;cauthor_uid=22454300" </w:instrText>
            </w:r>
            <w:r w:rsidR="002D5560">
              <w:fldChar w:fldCharType="separate"/>
            </w:r>
            <w:r w:rsidR="00A14123" w:rsidRPr="00A14123">
              <w:rPr>
                <w:rFonts w:eastAsiaTheme="minorHAnsi" w:cs="Arial"/>
                <w:b w:val="0"/>
                <w:color w:val="auto"/>
                <w:sz w:val="16"/>
                <w:szCs w:val="16"/>
              </w:rPr>
              <w:t>Groothoff</w:t>
            </w:r>
            <w:proofErr w:type="spellEnd"/>
            <w:r w:rsidR="00A14123" w:rsidRPr="00A14123">
              <w:rPr>
                <w:rFonts w:eastAsiaTheme="minorHAnsi" w:cs="Arial"/>
                <w:b w:val="0"/>
                <w:color w:val="auto"/>
                <w:sz w:val="16"/>
                <w:szCs w:val="16"/>
              </w:rPr>
              <w:t xml:space="preserve"> JW</w:t>
            </w:r>
            <w:r w:rsidR="002D5560">
              <w:rPr>
                <w:rFonts w:eastAsiaTheme="minorHAnsi" w:cs="Arial"/>
                <w:b w:val="0"/>
                <w:color w:val="auto"/>
                <w:sz w:val="16"/>
                <w:szCs w:val="16"/>
              </w:rPr>
              <w:fldChar w:fldCharType="end"/>
            </w:r>
            <w:r w:rsidR="00A14123" w:rsidRPr="00A14123">
              <w:rPr>
                <w:rFonts w:eastAsiaTheme="minorHAnsi" w:cs="Arial"/>
                <w:b w:val="0"/>
                <w:color w:val="auto"/>
                <w:sz w:val="16"/>
                <w:szCs w:val="16"/>
              </w:rPr>
              <w:t>, </w:t>
            </w:r>
            <w:proofErr w:type="spellStart"/>
            <w:r w:rsidR="002D5560">
              <w:fldChar w:fldCharType="begin"/>
            </w:r>
            <w:r w:rsidR="002D5560">
              <w:instrText xml:space="preserve"> HYPERLINK "https://www.ncbi.nlm.nih.gov/pubmed/?term=Geertzen%20JH%5BAuthor%5D&amp;cauthor=true&amp;cauthor_uid=22454300" </w:instrText>
            </w:r>
            <w:r w:rsidR="002D5560">
              <w:fldChar w:fldCharType="separate"/>
            </w:r>
            <w:r w:rsidR="00A14123" w:rsidRPr="00A14123">
              <w:rPr>
                <w:rFonts w:eastAsiaTheme="minorHAnsi" w:cs="Arial"/>
                <w:b w:val="0"/>
                <w:color w:val="auto"/>
                <w:sz w:val="16"/>
                <w:szCs w:val="16"/>
              </w:rPr>
              <w:t>Geertzen</w:t>
            </w:r>
            <w:proofErr w:type="spellEnd"/>
            <w:r w:rsidR="00A14123" w:rsidRPr="00A14123">
              <w:rPr>
                <w:rFonts w:eastAsiaTheme="minorHAnsi" w:cs="Arial"/>
                <w:b w:val="0"/>
                <w:color w:val="auto"/>
                <w:sz w:val="16"/>
                <w:szCs w:val="16"/>
              </w:rPr>
              <w:t xml:space="preserve"> JH</w:t>
            </w:r>
            <w:r w:rsidR="002D5560">
              <w:rPr>
                <w:rFonts w:eastAsiaTheme="minorHAnsi" w:cs="Arial"/>
                <w:b w:val="0"/>
                <w:color w:val="auto"/>
                <w:sz w:val="16"/>
                <w:szCs w:val="16"/>
              </w:rPr>
              <w:fldChar w:fldCharType="end"/>
            </w:r>
            <w:r w:rsidR="00A14123" w:rsidRPr="00A14123">
              <w:rPr>
                <w:rFonts w:eastAsiaTheme="minorHAnsi" w:cs="Arial"/>
                <w:b w:val="0"/>
                <w:color w:val="auto"/>
                <w:sz w:val="16"/>
                <w:szCs w:val="16"/>
              </w:rPr>
              <w:t>, </w:t>
            </w:r>
            <w:hyperlink r:id="rId38" w:history="1">
              <w:r w:rsidR="00A14123" w:rsidRPr="00A14123">
                <w:rPr>
                  <w:rFonts w:eastAsiaTheme="minorHAnsi" w:cs="Arial"/>
                  <w:b w:val="0"/>
                  <w:color w:val="auto"/>
                  <w:sz w:val="16"/>
                  <w:szCs w:val="16"/>
                </w:rPr>
                <w:t>Brouwer S</w:t>
              </w:r>
            </w:hyperlink>
            <w:r w:rsidR="00A14123" w:rsidRPr="00A14123">
              <w:rPr>
                <w:rFonts w:eastAsiaTheme="minorHAnsi" w:cs="Arial"/>
                <w:b w:val="0"/>
                <w:color w:val="auto"/>
                <w:sz w:val="16"/>
                <w:szCs w:val="16"/>
              </w:rPr>
              <w:t xml:space="preserve">. Workers who stay at work despite chronic nonspecific musculoskeletal pain: do they differ from workers with sick leave? </w:t>
            </w:r>
            <w:hyperlink r:id="rId39" w:tooltip="Journal of occupational rehabilitation." w:history="1">
              <w:r w:rsidR="00A14123" w:rsidRPr="00A14123">
                <w:rPr>
                  <w:rFonts w:eastAsiaTheme="minorHAnsi" w:cs="Arial"/>
                  <w:b w:val="0"/>
                  <w:color w:val="auto"/>
                  <w:sz w:val="16"/>
                  <w:szCs w:val="16"/>
                </w:rPr>
                <w:t xml:space="preserve">J </w:t>
              </w:r>
              <w:proofErr w:type="spellStart"/>
              <w:r w:rsidR="00A14123" w:rsidRPr="00A14123">
                <w:rPr>
                  <w:rFonts w:eastAsiaTheme="minorHAnsi" w:cs="Arial"/>
                  <w:b w:val="0"/>
                  <w:color w:val="auto"/>
                  <w:sz w:val="16"/>
                  <w:szCs w:val="16"/>
                </w:rPr>
                <w:t>Occup</w:t>
              </w:r>
              <w:proofErr w:type="spellEnd"/>
              <w:r w:rsidR="00A14123" w:rsidRPr="00A14123">
                <w:rPr>
                  <w:rFonts w:eastAsiaTheme="minorHAnsi" w:cs="Arial"/>
                  <w:b w:val="0"/>
                  <w:color w:val="auto"/>
                  <w:sz w:val="16"/>
                  <w:szCs w:val="16"/>
                </w:rPr>
                <w:t xml:space="preserve"> </w:t>
              </w:r>
              <w:proofErr w:type="spellStart"/>
              <w:r w:rsidR="00A14123" w:rsidRPr="00A14123">
                <w:rPr>
                  <w:rFonts w:eastAsiaTheme="minorHAnsi" w:cs="Arial"/>
                  <w:b w:val="0"/>
                  <w:color w:val="auto"/>
                  <w:sz w:val="16"/>
                  <w:szCs w:val="16"/>
                </w:rPr>
                <w:t>Rehabil</w:t>
              </w:r>
              <w:proofErr w:type="spellEnd"/>
              <w:r w:rsidR="00A14123" w:rsidRPr="00A14123">
                <w:rPr>
                  <w:rFonts w:eastAsiaTheme="minorHAnsi" w:cs="Arial"/>
                  <w:b w:val="0"/>
                  <w:color w:val="auto"/>
                  <w:sz w:val="16"/>
                  <w:szCs w:val="16"/>
                </w:rPr>
                <w:t>.</w:t>
              </w:r>
            </w:hyperlink>
            <w:r w:rsidR="0094759D">
              <w:rPr>
                <w:rFonts w:eastAsiaTheme="minorHAnsi" w:cs="Arial"/>
                <w:b w:val="0"/>
                <w:color w:val="auto"/>
                <w:sz w:val="16"/>
                <w:szCs w:val="16"/>
              </w:rPr>
              <w:t> 2012 Dec;22(4):489-502</w:t>
            </w:r>
          </w:p>
        </w:tc>
        <w:tc>
          <w:tcPr>
            <w:tcW w:w="6450" w:type="dxa"/>
          </w:tcPr>
          <w:p w14:paraId="5EC6D71D" w14:textId="77777777" w:rsidR="00A14123" w:rsidRPr="00A14123" w:rsidRDefault="00A14123" w:rsidP="0094759D">
            <w:pPr>
              <w:tabs>
                <w:tab w:val="left" w:pos="6691"/>
              </w:tabs>
              <w:spacing w:before="40" w:after="40"/>
              <w:cnfStyle w:val="000000000000" w:firstRow="0" w:lastRow="0" w:firstColumn="0" w:lastColumn="0" w:oddVBand="0" w:evenVBand="0" w:oddHBand="0" w:evenHBand="0" w:firstRowFirstColumn="0" w:firstRowLastColumn="0" w:lastRowFirstColumn="0" w:lastRowLastColumn="0"/>
              <w:rPr>
                <w:rFonts w:cs="Arial"/>
                <w:sz w:val="16"/>
                <w:szCs w:val="16"/>
                <w:shd w:val="clear" w:color="auto" w:fill="FFFFFF"/>
              </w:rPr>
            </w:pPr>
            <w:r w:rsidRPr="00A14123">
              <w:rPr>
                <w:rFonts w:cs="Arial"/>
                <w:sz w:val="16"/>
                <w:szCs w:val="16"/>
                <w:shd w:val="clear" w:color="auto" w:fill="FFFFFF"/>
              </w:rPr>
              <w:t>Shows that workers with musculoskeletal pain but who stay at work have different psychosocial characteristics than those with similar conditions</w:t>
            </w:r>
            <w:r w:rsidR="0094759D">
              <w:rPr>
                <w:rFonts w:cs="Arial"/>
                <w:sz w:val="16"/>
                <w:szCs w:val="16"/>
                <w:shd w:val="clear" w:color="auto" w:fill="FFFFFF"/>
              </w:rPr>
              <w:t xml:space="preserve"> who take time away from work. </w:t>
            </w:r>
          </w:p>
        </w:tc>
      </w:tr>
      <w:tr w:rsidR="00A14123" w:rsidRPr="006323ED" w14:paraId="536CA4D4" w14:textId="77777777" w:rsidTr="0094759D">
        <w:tc>
          <w:tcPr>
            <w:cnfStyle w:val="001000000000" w:firstRow="0" w:lastRow="0" w:firstColumn="1" w:lastColumn="0" w:oddVBand="0" w:evenVBand="0" w:oddHBand="0" w:evenHBand="0" w:firstRowFirstColumn="0" w:firstRowLastColumn="0" w:lastRowFirstColumn="0" w:lastRowLastColumn="0"/>
            <w:tcW w:w="2268" w:type="dxa"/>
            <w:vAlign w:val="center"/>
          </w:tcPr>
          <w:p w14:paraId="1EA8A1A7" w14:textId="77777777" w:rsidR="00A14123" w:rsidRPr="0041166A" w:rsidRDefault="00A14123" w:rsidP="00A14123">
            <w:pPr>
              <w:tabs>
                <w:tab w:val="left" w:pos="6691"/>
              </w:tabs>
              <w:rPr>
                <w:rFonts w:cs="Arial"/>
                <w:sz w:val="16"/>
                <w:szCs w:val="16"/>
              </w:rPr>
            </w:pPr>
            <w:r w:rsidRPr="0041166A">
              <w:rPr>
                <w:rFonts w:cs="Arial"/>
                <w:sz w:val="16"/>
                <w:szCs w:val="16"/>
              </w:rPr>
              <w:t>Insurer decision time</w:t>
            </w:r>
          </w:p>
        </w:tc>
        <w:tc>
          <w:tcPr>
            <w:tcW w:w="6450" w:type="dxa"/>
            <w:vAlign w:val="center"/>
          </w:tcPr>
          <w:p w14:paraId="464E3B31" w14:textId="77777777" w:rsidR="00A14123" w:rsidRPr="00A14123" w:rsidRDefault="00A14123" w:rsidP="0094759D">
            <w:pPr>
              <w:tabs>
                <w:tab w:val="left" w:pos="6691"/>
              </w:tabs>
              <w:spacing w:before="40" w:after="40"/>
              <w:cnfStyle w:val="000000000000" w:firstRow="0" w:lastRow="0" w:firstColumn="0" w:lastColumn="0" w:oddVBand="0" w:evenVBand="0" w:oddHBand="0" w:evenHBand="0" w:firstRowFirstColumn="0" w:firstRowLastColumn="0" w:lastRowFirstColumn="0" w:lastRowLastColumn="0"/>
              <w:rPr>
                <w:rFonts w:cs="Arial"/>
                <w:sz w:val="16"/>
                <w:szCs w:val="16"/>
                <w:shd w:val="clear" w:color="auto" w:fill="FFFFFF"/>
              </w:rPr>
            </w:pPr>
            <w:proofErr w:type="spellStart"/>
            <w:r w:rsidRPr="00A14123">
              <w:rPr>
                <w:rFonts w:cs="Arial"/>
                <w:sz w:val="16"/>
                <w:szCs w:val="16"/>
                <w:shd w:val="clear" w:color="auto" w:fill="FFFFFF"/>
              </w:rPr>
              <w:t>Gray</w:t>
            </w:r>
            <w:proofErr w:type="spellEnd"/>
            <w:r w:rsidRPr="00A14123">
              <w:rPr>
                <w:rFonts w:cs="Arial"/>
                <w:sz w:val="16"/>
                <w:szCs w:val="16"/>
                <w:shd w:val="clear" w:color="auto" w:fill="FFFFFF"/>
              </w:rPr>
              <w:t xml:space="preserve"> SE, Lane TJ, Sheehan L, </w:t>
            </w:r>
            <w:r w:rsidRPr="00A14123">
              <w:rPr>
                <w:rFonts w:cs="Arial"/>
                <w:bCs/>
                <w:sz w:val="16"/>
                <w:szCs w:val="16"/>
                <w:shd w:val="clear" w:color="auto" w:fill="FFFFFF"/>
              </w:rPr>
              <w:t>et al</w:t>
            </w:r>
            <w:r w:rsidRPr="00A14123">
              <w:rPr>
                <w:rFonts w:cs="Arial"/>
                <w:sz w:val="16"/>
                <w:szCs w:val="16"/>
                <w:shd w:val="clear" w:color="auto" w:fill="FFFFFF"/>
              </w:rPr>
              <w:t xml:space="preserve">. </w:t>
            </w:r>
            <w:hyperlink r:id="rId40" w:history="1">
              <w:r w:rsidRPr="00A14123">
                <w:rPr>
                  <w:rFonts w:cs="Arial"/>
                  <w:sz w:val="16"/>
                  <w:szCs w:val="16"/>
                  <w:shd w:val="clear" w:color="auto" w:fill="FFFFFF"/>
                </w:rPr>
                <w:t>Association between workers' compensation claim processing times and work disability duration: Analysis of population level claims data.</w:t>
              </w:r>
            </w:hyperlink>
            <w:r w:rsidRPr="00A14123">
              <w:rPr>
                <w:rFonts w:cs="Arial"/>
                <w:sz w:val="16"/>
                <w:szCs w:val="16"/>
              </w:rPr>
              <w:t xml:space="preserve"> </w:t>
            </w:r>
            <w:r w:rsidRPr="00A14123">
              <w:rPr>
                <w:rFonts w:cs="Arial"/>
                <w:sz w:val="16"/>
                <w:szCs w:val="16"/>
                <w:shd w:val="clear" w:color="auto" w:fill="FFFFFF"/>
              </w:rPr>
              <w:t>Health Policy. 2019 Oct;123(10):982-991</w:t>
            </w:r>
          </w:p>
          <w:p w14:paraId="42419121" w14:textId="77777777" w:rsidR="00A14123" w:rsidRPr="00A14123" w:rsidRDefault="00A14123" w:rsidP="0094759D">
            <w:pPr>
              <w:tabs>
                <w:tab w:val="left" w:pos="6691"/>
              </w:tabs>
              <w:spacing w:before="40" w:after="40"/>
              <w:cnfStyle w:val="000000000000" w:firstRow="0" w:lastRow="0" w:firstColumn="0" w:lastColumn="0" w:oddVBand="0" w:evenVBand="0" w:oddHBand="0" w:evenHBand="0" w:firstRowFirstColumn="0" w:firstRowLastColumn="0" w:lastRowFirstColumn="0" w:lastRowLastColumn="0"/>
              <w:rPr>
                <w:rFonts w:cs="Arial"/>
                <w:sz w:val="16"/>
                <w:szCs w:val="16"/>
              </w:rPr>
            </w:pPr>
            <w:r w:rsidRPr="00A14123">
              <w:rPr>
                <w:rFonts w:cs="Arial"/>
                <w:bCs/>
                <w:sz w:val="16"/>
                <w:szCs w:val="16"/>
                <w:shd w:val="clear" w:color="auto" w:fill="FFFFFF"/>
              </w:rPr>
              <w:t>Cocker F</w:t>
            </w:r>
            <w:r w:rsidRPr="00A14123">
              <w:rPr>
                <w:rFonts w:cs="Arial"/>
                <w:sz w:val="16"/>
                <w:szCs w:val="16"/>
                <w:shd w:val="clear" w:color="auto" w:fill="FFFFFF"/>
              </w:rPr>
              <w:t xml:space="preserve">, Sim MR, Kelsall H, et al. </w:t>
            </w:r>
            <w:hyperlink r:id="rId41" w:history="1">
              <w:r w:rsidRPr="00A14123">
                <w:rPr>
                  <w:rFonts w:cs="Arial"/>
                  <w:sz w:val="16"/>
                  <w:szCs w:val="16"/>
                  <w:shd w:val="clear" w:color="auto" w:fill="FFFFFF"/>
                </w:rPr>
                <w:t>The Association Between Time Taken to Report, Lodge, and Start Wage Replacement and Return-to-Work Outcomes.</w:t>
              </w:r>
            </w:hyperlink>
            <w:r w:rsidRPr="00A14123">
              <w:rPr>
                <w:rFonts w:cs="Arial"/>
                <w:sz w:val="16"/>
                <w:szCs w:val="16"/>
              </w:rPr>
              <w:t xml:space="preserve"> </w:t>
            </w:r>
            <w:r w:rsidRPr="00A14123">
              <w:rPr>
                <w:rFonts w:cs="Arial"/>
                <w:sz w:val="16"/>
                <w:szCs w:val="16"/>
                <w:shd w:val="clear" w:color="auto" w:fill="FFFFFF"/>
              </w:rPr>
              <w:t xml:space="preserve">J </w:t>
            </w:r>
            <w:proofErr w:type="spellStart"/>
            <w:r w:rsidRPr="00A14123">
              <w:rPr>
                <w:rFonts w:cs="Arial"/>
                <w:sz w:val="16"/>
                <w:szCs w:val="16"/>
                <w:shd w:val="clear" w:color="auto" w:fill="FFFFFF"/>
              </w:rPr>
              <w:t>Occup</w:t>
            </w:r>
            <w:proofErr w:type="spellEnd"/>
            <w:r w:rsidRPr="00A14123">
              <w:rPr>
                <w:rFonts w:cs="Arial"/>
                <w:sz w:val="16"/>
                <w:szCs w:val="16"/>
                <w:shd w:val="clear" w:color="auto" w:fill="FFFFFF"/>
              </w:rPr>
              <w:t xml:space="preserve"> Environ Med. 2018 Jul;60(7):622-630.</w:t>
            </w:r>
          </w:p>
        </w:tc>
        <w:tc>
          <w:tcPr>
            <w:tcW w:w="6450" w:type="dxa"/>
          </w:tcPr>
          <w:p w14:paraId="68698005" w14:textId="77777777" w:rsidR="00A14123" w:rsidRPr="00A14123" w:rsidRDefault="00A14123" w:rsidP="0094759D">
            <w:pPr>
              <w:tabs>
                <w:tab w:val="left" w:pos="6691"/>
              </w:tabs>
              <w:spacing w:before="40" w:after="40"/>
              <w:cnfStyle w:val="000000000000" w:firstRow="0" w:lastRow="0" w:firstColumn="0" w:lastColumn="0" w:oddVBand="0" w:evenVBand="0" w:oddHBand="0" w:evenHBand="0" w:firstRowFirstColumn="0" w:firstRowLastColumn="0" w:lastRowFirstColumn="0" w:lastRowLastColumn="0"/>
              <w:rPr>
                <w:rFonts w:cs="Arial"/>
                <w:sz w:val="16"/>
                <w:szCs w:val="16"/>
                <w:shd w:val="clear" w:color="auto" w:fill="FFFFFF"/>
              </w:rPr>
            </w:pPr>
            <w:r w:rsidRPr="00A14123">
              <w:rPr>
                <w:rFonts w:cs="Arial"/>
                <w:sz w:val="16"/>
                <w:szCs w:val="16"/>
                <w:shd w:val="clear" w:color="auto" w:fill="FFFFFF"/>
              </w:rPr>
              <w:t xml:space="preserve">Demonstrates a link between the time taken for insurers to make claims decisions and duration of time off work, after accounting statistically for injury type, demographic and employer factors.  </w:t>
            </w:r>
          </w:p>
          <w:p w14:paraId="32612246" w14:textId="77777777" w:rsidR="00A14123" w:rsidRPr="00A14123" w:rsidRDefault="00A14123" w:rsidP="0094759D">
            <w:pPr>
              <w:tabs>
                <w:tab w:val="left" w:pos="6691"/>
              </w:tabs>
              <w:spacing w:before="40" w:after="40"/>
              <w:cnfStyle w:val="000000000000" w:firstRow="0" w:lastRow="0" w:firstColumn="0" w:lastColumn="0" w:oddVBand="0" w:evenVBand="0" w:oddHBand="0" w:evenHBand="0" w:firstRowFirstColumn="0" w:firstRowLastColumn="0" w:lastRowFirstColumn="0" w:lastRowLastColumn="0"/>
              <w:rPr>
                <w:rFonts w:cs="Arial"/>
                <w:sz w:val="16"/>
                <w:szCs w:val="16"/>
                <w:shd w:val="clear" w:color="auto" w:fill="FFFFFF"/>
              </w:rPr>
            </w:pPr>
            <w:r w:rsidRPr="00A14123">
              <w:rPr>
                <w:rFonts w:cs="Arial"/>
                <w:sz w:val="16"/>
                <w:szCs w:val="16"/>
                <w:shd w:val="clear" w:color="auto" w:fill="FFFFFF"/>
              </w:rPr>
              <w:t xml:space="preserve">Demonstrates a link between various time points early in the compensation claim process and return to work outcomes, after accounting statistically for injury type, demographic and employer factors.  </w:t>
            </w:r>
          </w:p>
        </w:tc>
      </w:tr>
      <w:tr w:rsidR="00A14123" w:rsidRPr="006323ED" w14:paraId="66DCCE58" w14:textId="77777777" w:rsidTr="0094759D">
        <w:tc>
          <w:tcPr>
            <w:cnfStyle w:val="001000000000" w:firstRow="0" w:lastRow="0" w:firstColumn="1" w:lastColumn="0" w:oddVBand="0" w:evenVBand="0" w:oddHBand="0" w:evenHBand="0" w:firstRowFirstColumn="0" w:firstRowLastColumn="0" w:lastRowFirstColumn="0" w:lastRowLastColumn="0"/>
            <w:tcW w:w="2268" w:type="dxa"/>
            <w:vAlign w:val="center"/>
          </w:tcPr>
          <w:p w14:paraId="09FC4B36" w14:textId="77777777" w:rsidR="00A14123" w:rsidRPr="0041166A" w:rsidRDefault="00A14123" w:rsidP="00A14123">
            <w:pPr>
              <w:tabs>
                <w:tab w:val="left" w:pos="6691"/>
              </w:tabs>
              <w:rPr>
                <w:rFonts w:cs="Arial"/>
                <w:sz w:val="16"/>
                <w:szCs w:val="16"/>
              </w:rPr>
            </w:pPr>
            <w:r w:rsidRPr="0041166A">
              <w:rPr>
                <w:rFonts w:cs="Arial"/>
                <w:sz w:val="16"/>
                <w:szCs w:val="16"/>
              </w:rPr>
              <w:t>Perceived fairness</w:t>
            </w:r>
          </w:p>
        </w:tc>
        <w:tc>
          <w:tcPr>
            <w:tcW w:w="6450" w:type="dxa"/>
            <w:vAlign w:val="center"/>
          </w:tcPr>
          <w:p w14:paraId="2EDE0333" w14:textId="77777777" w:rsidR="00A14123" w:rsidRPr="00A14123" w:rsidRDefault="00A14123" w:rsidP="0094759D">
            <w:pPr>
              <w:tabs>
                <w:tab w:val="left" w:pos="6691"/>
              </w:tabs>
              <w:spacing w:before="40" w:after="40"/>
              <w:cnfStyle w:val="000000000000" w:firstRow="0" w:lastRow="0" w:firstColumn="0" w:lastColumn="0" w:oddVBand="0" w:evenVBand="0" w:oddHBand="0" w:evenHBand="0" w:firstRowFirstColumn="0" w:firstRowLastColumn="0" w:lastRowFirstColumn="0" w:lastRowLastColumn="0"/>
              <w:rPr>
                <w:rFonts w:cs="Arial"/>
                <w:sz w:val="16"/>
                <w:szCs w:val="16"/>
                <w:shd w:val="clear" w:color="auto" w:fill="FFFFFF"/>
              </w:rPr>
            </w:pPr>
            <w:proofErr w:type="spellStart"/>
            <w:r w:rsidRPr="00A14123">
              <w:rPr>
                <w:rFonts w:cs="Arial"/>
                <w:sz w:val="16"/>
                <w:szCs w:val="16"/>
                <w:shd w:val="clear" w:color="auto" w:fill="FFFFFF"/>
              </w:rPr>
              <w:t>Franche</w:t>
            </w:r>
            <w:proofErr w:type="spellEnd"/>
            <w:r w:rsidRPr="00A14123">
              <w:rPr>
                <w:rFonts w:cs="Arial"/>
                <w:sz w:val="16"/>
                <w:szCs w:val="16"/>
                <w:shd w:val="clear" w:color="auto" w:fill="FFFFFF"/>
              </w:rPr>
              <w:t xml:space="preserve"> RL, Severin CN, Lee H et al. Perceived Justice of Compensation Process for Return-to-Work: Development and Validation of a Scale. Psychological Injury and Law. 2009. 2(3):225-237</w:t>
            </w:r>
          </w:p>
          <w:p w14:paraId="162D984B" w14:textId="77777777" w:rsidR="00A14123" w:rsidRPr="00A14123" w:rsidRDefault="00A14123" w:rsidP="0094759D">
            <w:pPr>
              <w:tabs>
                <w:tab w:val="left" w:pos="6691"/>
              </w:tabs>
              <w:spacing w:before="40" w:after="40"/>
              <w:cnfStyle w:val="000000000000" w:firstRow="0" w:lastRow="0" w:firstColumn="0" w:lastColumn="0" w:oddVBand="0" w:evenVBand="0" w:oddHBand="0" w:evenHBand="0" w:firstRowFirstColumn="0" w:firstRowLastColumn="0" w:lastRowFirstColumn="0" w:lastRowLastColumn="0"/>
              <w:rPr>
                <w:rFonts w:cs="Arial"/>
                <w:sz w:val="16"/>
                <w:szCs w:val="16"/>
              </w:rPr>
            </w:pPr>
            <w:r w:rsidRPr="00A14123">
              <w:rPr>
                <w:rFonts w:cs="Arial"/>
                <w:bCs/>
                <w:sz w:val="16"/>
                <w:szCs w:val="16"/>
                <w:shd w:val="clear" w:color="auto" w:fill="FFFFFF"/>
              </w:rPr>
              <w:t>Collie A</w:t>
            </w:r>
            <w:r w:rsidRPr="00A14123">
              <w:rPr>
                <w:rFonts w:cs="Arial"/>
                <w:sz w:val="16"/>
                <w:szCs w:val="16"/>
                <w:shd w:val="clear" w:color="auto" w:fill="FFFFFF"/>
              </w:rPr>
              <w:t>, Sheehan L, Lane TJ, </w:t>
            </w:r>
            <w:r w:rsidRPr="00A14123">
              <w:rPr>
                <w:rFonts w:cs="Arial"/>
                <w:bCs/>
                <w:sz w:val="16"/>
                <w:szCs w:val="16"/>
                <w:shd w:val="clear" w:color="auto" w:fill="FFFFFF"/>
              </w:rPr>
              <w:t>et al</w:t>
            </w:r>
            <w:r w:rsidRPr="00A14123">
              <w:rPr>
                <w:rFonts w:cs="Arial"/>
                <w:sz w:val="16"/>
                <w:szCs w:val="16"/>
                <w:shd w:val="clear" w:color="auto" w:fill="FFFFFF"/>
              </w:rPr>
              <w:t xml:space="preserve">. </w:t>
            </w:r>
            <w:hyperlink r:id="rId42" w:history="1">
              <w:r w:rsidRPr="00A14123">
                <w:rPr>
                  <w:rFonts w:cs="Arial"/>
                  <w:sz w:val="16"/>
                  <w:szCs w:val="16"/>
                  <w:shd w:val="clear" w:color="auto" w:fill="FFFFFF"/>
                </w:rPr>
                <w:t>Injured worker experiences of insurance claim processes and return to work: a national, cross-sectional study.</w:t>
              </w:r>
            </w:hyperlink>
            <w:r w:rsidRPr="00A14123">
              <w:rPr>
                <w:rFonts w:cs="Arial"/>
                <w:sz w:val="16"/>
                <w:szCs w:val="16"/>
              </w:rPr>
              <w:t xml:space="preserve"> </w:t>
            </w:r>
            <w:r w:rsidRPr="00A14123">
              <w:rPr>
                <w:rFonts w:cs="Arial"/>
                <w:sz w:val="16"/>
                <w:szCs w:val="16"/>
                <w:shd w:val="clear" w:color="auto" w:fill="FFFFFF"/>
              </w:rPr>
              <w:t>BMC Public Health. 2019 Jul 10;19(1):927</w:t>
            </w:r>
          </w:p>
        </w:tc>
        <w:tc>
          <w:tcPr>
            <w:tcW w:w="6450" w:type="dxa"/>
          </w:tcPr>
          <w:p w14:paraId="6E3823C6" w14:textId="77777777" w:rsidR="00A14123" w:rsidRPr="00A14123" w:rsidRDefault="00A14123" w:rsidP="0094759D">
            <w:pPr>
              <w:tabs>
                <w:tab w:val="left" w:pos="6691"/>
              </w:tabs>
              <w:spacing w:before="40" w:after="40"/>
              <w:cnfStyle w:val="000000000000" w:firstRow="0" w:lastRow="0" w:firstColumn="0" w:lastColumn="0" w:oddVBand="0" w:evenVBand="0" w:oddHBand="0" w:evenHBand="0" w:firstRowFirstColumn="0" w:firstRowLastColumn="0" w:lastRowFirstColumn="0" w:lastRowLastColumn="0"/>
              <w:rPr>
                <w:rFonts w:cs="Arial"/>
                <w:sz w:val="16"/>
                <w:szCs w:val="16"/>
                <w:shd w:val="clear" w:color="auto" w:fill="FFFFFF"/>
              </w:rPr>
            </w:pPr>
            <w:r w:rsidRPr="00A14123">
              <w:rPr>
                <w:rFonts w:cs="Arial"/>
                <w:sz w:val="16"/>
                <w:szCs w:val="16"/>
                <w:shd w:val="clear" w:color="auto" w:fill="FFFFFF"/>
              </w:rPr>
              <w:t xml:space="preserve">Describes a study validating the perceived justice of the compensation process scale in a workers’ compensation cohort. This scale is included in the NRTWS. </w:t>
            </w:r>
          </w:p>
          <w:p w14:paraId="7AC15B69" w14:textId="77777777" w:rsidR="00A14123" w:rsidRPr="00A14123" w:rsidRDefault="00A14123" w:rsidP="0094759D">
            <w:pPr>
              <w:tabs>
                <w:tab w:val="left" w:pos="6691"/>
              </w:tabs>
              <w:spacing w:before="40" w:after="40"/>
              <w:cnfStyle w:val="000000000000" w:firstRow="0" w:lastRow="0" w:firstColumn="0" w:lastColumn="0" w:oddVBand="0" w:evenVBand="0" w:oddHBand="0" w:evenHBand="0" w:firstRowFirstColumn="0" w:firstRowLastColumn="0" w:lastRowFirstColumn="0" w:lastRowLastColumn="0"/>
              <w:rPr>
                <w:rFonts w:cs="Arial"/>
                <w:sz w:val="16"/>
                <w:szCs w:val="16"/>
                <w:shd w:val="clear" w:color="auto" w:fill="FFFFFF"/>
              </w:rPr>
            </w:pPr>
            <w:r w:rsidRPr="00A14123">
              <w:rPr>
                <w:rFonts w:cs="Arial"/>
                <w:sz w:val="16"/>
                <w:szCs w:val="16"/>
                <w:shd w:val="clear" w:color="auto" w:fill="FFFFFF"/>
              </w:rPr>
              <w:t xml:space="preserve">Demonstrates a link between the injured workers experiences of insurance claims processes and self-reported return to work outcomes, after adjusting statistically for injury, demographic and employer factors, using NRTWS data. </w:t>
            </w:r>
          </w:p>
        </w:tc>
      </w:tr>
      <w:tr w:rsidR="0094759D" w:rsidRPr="006323ED" w14:paraId="6C751851" w14:textId="77777777" w:rsidTr="0094759D">
        <w:trPr>
          <w:trHeight w:val="455"/>
        </w:trPr>
        <w:tc>
          <w:tcPr>
            <w:cnfStyle w:val="001000000000" w:firstRow="0" w:lastRow="0" w:firstColumn="1" w:lastColumn="0" w:oddVBand="0" w:evenVBand="0" w:oddHBand="0" w:evenHBand="0" w:firstRowFirstColumn="0" w:firstRowLastColumn="0" w:lastRowFirstColumn="0" w:lastRowLastColumn="0"/>
            <w:tcW w:w="2268" w:type="dxa"/>
            <w:shd w:val="clear" w:color="auto" w:fill="3D7881"/>
            <w:vAlign w:val="center"/>
          </w:tcPr>
          <w:p w14:paraId="3FE4E1E8" w14:textId="77777777" w:rsidR="0094759D" w:rsidRPr="0094759D" w:rsidRDefault="0094759D" w:rsidP="007538D0">
            <w:pPr>
              <w:tabs>
                <w:tab w:val="left" w:pos="6691"/>
              </w:tabs>
              <w:rPr>
                <w:rFonts w:cs="Arial"/>
                <w:color w:val="FFFFFF" w:themeColor="background1"/>
                <w:sz w:val="18"/>
                <w:szCs w:val="18"/>
              </w:rPr>
            </w:pPr>
            <w:r w:rsidRPr="0094759D">
              <w:rPr>
                <w:rFonts w:cs="Arial"/>
                <w:color w:val="FFFFFF" w:themeColor="background1"/>
                <w:sz w:val="18"/>
                <w:szCs w:val="18"/>
              </w:rPr>
              <w:t>Performance Measure</w:t>
            </w:r>
          </w:p>
        </w:tc>
        <w:tc>
          <w:tcPr>
            <w:tcW w:w="6450" w:type="dxa"/>
            <w:shd w:val="clear" w:color="auto" w:fill="3D7881"/>
            <w:vAlign w:val="center"/>
          </w:tcPr>
          <w:p w14:paraId="4ABB5640" w14:textId="77777777" w:rsidR="0094759D" w:rsidRPr="0094759D" w:rsidRDefault="0094759D" w:rsidP="007538D0">
            <w:pPr>
              <w:tabs>
                <w:tab w:val="left" w:pos="6691"/>
              </w:tabs>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18"/>
                <w:szCs w:val="18"/>
              </w:rPr>
            </w:pPr>
            <w:r w:rsidRPr="0094759D">
              <w:rPr>
                <w:rFonts w:cs="Arial"/>
                <w:b/>
                <w:color w:val="FFFFFF" w:themeColor="background1"/>
                <w:sz w:val="18"/>
                <w:szCs w:val="18"/>
              </w:rPr>
              <w:t>Citation/s</w:t>
            </w:r>
          </w:p>
        </w:tc>
        <w:tc>
          <w:tcPr>
            <w:tcW w:w="6450" w:type="dxa"/>
            <w:shd w:val="clear" w:color="auto" w:fill="3D7881"/>
            <w:vAlign w:val="center"/>
          </w:tcPr>
          <w:p w14:paraId="0FE8AE58" w14:textId="77777777" w:rsidR="0094759D" w:rsidRPr="0094759D" w:rsidRDefault="0094759D" w:rsidP="007538D0">
            <w:pPr>
              <w:tabs>
                <w:tab w:val="left" w:pos="6691"/>
              </w:tabs>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18"/>
                <w:szCs w:val="18"/>
              </w:rPr>
            </w:pPr>
            <w:r w:rsidRPr="0094759D">
              <w:rPr>
                <w:rFonts w:cs="Arial"/>
                <w:b/>
                <w:color w:val="FFFFFF" w:themeColor="background1"/>
                <w:sz w:val="18"/>
                <w:szCs w:val="18"/>
              </w:rPr>
              <w:t xml:space="preserve">Summary </w:t>
            </w:r>
          </w:p>
        </w:tc>
      </w:tr>
      <w:tr w:rsidR="00A14123" w:rsidRPr="006323ED" w14:paraId="6B44BE1F" w14:textId="77777777" w:rsidTr="0094759D">
        <w:tc>
          <w:tcPr>
            <w:cnfStyle w:val="001000000000" w:firstRow="0" w:lastRow="0" w:firstColumn="1" w:lastColumn="0" w:oddVBand="0" w:evenVBand="0" w:oddHBand="0" w:evenHBand="0" w:firstRowFirstColumn="0" w:firstRowLastColumn="0" w:lastRowFirstColumn="0" w:lastRowLastColumn="0"/>
            <w:tcW w:w="2268" w:type="dxa"/>
            <w:vAlign w:val="center"/>
          </w:tcPr>
          <w:p w14:paraId="6332DE06" w14:textId="77777777" w:rsidR="00A14123" w:rsidRPr="0041166A" w:rsidRDefault="00A14123" w:rsidP="00A14123">
            <w:pPr>
              <w:tabs>
                <w:tab w:val="left" w:pos="6691"/>
              </w:tabs>
              <w:rPr>
                <w:rFonts w:cs="Arial"/>
                <w:sz w:val="16"/>
                <w:szCs w:val="16"/>
              </w:rPr>
            </w:pPr>
            <w:r w:rsidRPr="0041166A">
              <w:rPr>
                <w:rFonts w:cs="Arial"/>
                <w:sz w:val="16"/>
                <w:szCs w:val="16"/>
              </w:rPr>
              <w:t>Work-focused healthcare</w:t>
            </w:r>
          </w:p>
        </w:tc>
        <w:tc>
          <w:tcPr>
            <w:tcW w:w="6450" w:type="dxa"/>
            <w:vAlign w:val="center"/>
          </w:tcPr>
          <w:p w14:paraId="317C7D19" w14:textId="77777777" w:rsidR="00A14123" w:rsidRPr="0094759D" w:rsidRDefault="00A14123" w:rsidP="0094759D">
            <w:pPr>
              <w:tabs>
                <w:tab w:val="left" w:pos="6691"/>
              </w:tabs>
              <w:spacing w:before="40" w:after="40"/>
              <w:cnfStyle w:val="000000000000" w:firstRow="0" w:lastRow="0" w:firstColumn="0" w:lastColumn="0" w:oddVBand="0" w:evenVBand="0" w:oddHBand="0" w:evenHBand="0" w:firstRowFirstColumn="0" w:firstRowLastColumn="0" w:lastRowFirstColumn="0" w:lastRowLastColumn="0"/>
              <w:rPr>
                <w:rFonts w:cs="Arial"/>
                <w:sz w:val="16"/>
                <w:szCs w:val="16"/>
                <w:shd w:val="clear" w:color="auto" w:fill="FFFFFF"/>
              </w:rPr>
            </w:pPr>
            <w:r w:rsidRPr="00A14123">
              <w:rPr>
                <w:rFonts w:cs="Arial"/>
                <w:bCs/>
                <w:sz w:val="16"/>
                <w:szCs w:val="16"/>
                <w:shd w:val="clear" w:color="auto" w:fill="FFFFFF"/>
              </w:rPr>
              <w:t>Cullen</w:t>
            </w:r>
            <w:r w:rsidRPr="00A14123">
              <w:rPr>
                <w:rFonts w:cs="Arial"/>
                <w:sz w:val="16"/>
                <w:szCs w:val="16"/>
                <w:shd w:val="clear" w:color="auto" w:fill="FFFFFF"/>
              </w:rPr>
              <w:t> KL, Irvin E, </w:t>
            </w:r>
            <w:r w:rsidRPr="00A14123">
              <w:rPr>
                <w:rFonts w:cs="Arial"/>
                <w:bCs/>
                <w:sz w:val="16"/>
                <w:szCs w:val="16"/>
                <w:shd w:val="clear" w:color="auto" w:fill="FFFFFF"/>
              </w:rPr>
              <w:t>Collie</w:t>
            </w:r>
            <w:r w:rsidRPr="00A14123">
              <w:rPr>
                <w:rFonts w:cs="Arial"/>
                <w:sz w:val="16"/>
                <w:szCs w:val="16"/>
                <w:shd w:val="clear" w:color="auto" w:fill="FFFFFF"/>
              </w:rPr>
              <w:t xml:space="preserve"> A, et al. </w:t>
            </w:r>
            <w:hyperlink r:id="rId43" w:history="1">
              <w:r w:rsidRPr="00A14123">
                <w:rPr>
                  <w:rFonts w:cs="Arial"/>
                  <w:sz w:val="16"/>
                  <w:szCs w:val="16"/>
                  <w:shd w:val="clear" w:color="auto" w:fill="FFFFFF"/>
                </w:rPr>
                <w:t>Effectiveness of Workplace Interventions in Return-to-Work for Musculoskeletal, Pain-Related and Mental Health Conditions: An Update of the Evidence and Messages for Practitioners.</w:t>
              </w:r>
            </w:hyperlink>
            <w:r w:rsidRPr="00A14123">
              <w:rPr>
                <w:rFonts w:cs="Arial"/>
                <w:sz w:val="16"/>
                <w:szCs w:val="16"/>
              </w:rPr>
              <w:t xml:space="preserve">  </w:t>
            </w:r>
            <w:r w:rsidRPr="00A14123">
              <w:rPr>
                <w:rFonts w:cs="Arial"/>
                <w:sz w:val="16"/>
                <w:szCs w:val="16"/>
                <w:shd w:val="clear" w:color="auto" w:fill="FFFFFF"/>
              </w:rPr>
              <w:t xml:space="preserve">J </w:t>
            </w:r>
            <w:proofErr w:type="spellStart"/>
            <w:r w:rsidRPr="00A14123">
              <w:rPr>
                <w:rFonts w:cs="Arial"/>
                <w:sz w:val="16"/>
                <w:szCs w:val="16"/>
                <w:shd w:val="clear" w:color="auto" w:fill="FFFFFF"/>
              </w:rPr>
              <w:t>Occ</w:t>
            </w:r>
            <w:r w:rsidR="0094759D">
              <w:rPr>
                <w:rFonts w:cs="Arial"/>
                <w:sz w:val="16"/>
                <w:szCs w:val="16"/>
                <w:shd w:val="clear" w:color="auto" w:fill="FFFFFF"/>
              </w:rPr>
              <w:t>up</w:t>
            </w:r>
            <w:proofErr w:type="spellEnd"/>
            <w:r w:rsidR="0094759D">
              <w:rPr>
                <w:rFonts w:cs="Arial"/>
                <w:sz w:val="16"/>
                <w:szCs w:val="16"/>
                <w:shd w:val="clear" w:color="auto" w:fill="FFFFFF"/>
              </w:rPr>
              <w:t xml:space="preserve"> </w:t>
            </w:r>
            <w:proofErr w:type="spellStart"/>
            <w:r w:rsidR="0094759D">
              <w:rPr>
                <w:rFonts w:cs="Arial"/>
                <w:sz w:val="16"/>
                <w:szCs w:val="16"/>
                <w:shd w:val="clear" w:color="auto" w:fill="FFFFFF"/>
              </w:rPr>
              <w:t>Rehabil</w:t>
            </w:r>
            <w:proofErr w:type="spellEnd"/>
            <w:r w:rsidR="0094759D">
              <w:rPr>
                <w:rFonts w:cs="Arial"/>
                <w:sz w:val="16"/>
                <w:szCs w:val="16"/>
                <w:shd w:val="clear" w:color="auto" w:fill="FFFFFF"/>
              </w:rPr>
              <w:t>. 2018 Mar;28(1):1-15</w:t>
            </w:r>
          </w:p>
        </w:tc>
        <w:tc>
          <w:tcPr>
            <w:tcW w:w="6450" w:type="dxa"/>
          </w:tcPr>
          <w:p w14:paraId="0FD7F7A9" w14:textId="77777777" w:rsidR="00A14123" w:rsidRPr="00A14123" w:rsidRDefault="00A14123" w:rsidP="0094759D">
            <w:pPr>
              <w:tabs>
                <w:tab w:val="left" w:pos="6691"/>
              </w:tabs>
              <w:spacing w:before="40" w:after="40"/>
              <w:cnfStyle w:val="000000000000" w:firstRow="0" w:lastRow="0" w:firstColumn="0" w:lastColumn="0" w:oddVBand="0" w:evenVBand="0" w:oddHBand="0" w:evenHBand="0" w:firstRowFirstColumn="0" w:firstRowLastColumn="0" w:lastRowFirstColumn="0" w:lastRowLastColumn="0"/>
              <w:rPr>
                <w:rFonts w:cs="Arial"/>
                <w:sz w:val="16"/>
                <w:szCs w:val="16"/>
                <w:shd w:val="clear" w:color="auto" w:fill="FFFFFF"/>
              </w:rPr>
            </w:pPr>
            <w:r w:rsidRPr="00A14123">
              <w:rPr>
                <w:rFonts w:cs="Arial"/>
                <w:sz w:val="16"/>
                <w:szCs w:val="16"/>
                <w:shd w:val="clear" w:color="auto" w:fill="FFFFFF"/>
              </w:rPr>
              <w:t xml:space="preserve">Review of global intervention research that shows work-focussed healthcare is effective at improving </w:t>
            </w:r>
            <w:r w:rsidR="00F24173">
              <w:rPr>
                <w:rFonts w:cs="Arial"/>
                <w:sz w:val="16"/>
                <w:szCs w:val="16"/>
                <w:shd w:val="clear" w:color="auto" w:fill="FFFFFF"/>
              </w:rPr>
              <w:t>return to work</w:t>
            </w:r>
            <w:r w:rsidRPr="00A14123">
              <w:rPr>
                <w:rFonts w:cs="Arial"/>
                <w:sz w:val="16"/>
                <w:szCs w:val="16"/>
                <w:shd w:val="clear" w:color="auto" w:fill="FFFFFF"/>
              </w:rPr>
              <w:t xml:space="preserve"> outcomes among injured workers with musculoskeletal and mental health conditions. </w:t>
            </w:r>
          </w:p>
        </w:tc>
      </w:tr>
      <w:tr w:rsidR="00A14123" w:rsidRPr="006323ED" w14:paraId="65DC9F4C" w14:textId="77777777" w:rsidTr="0094759D">
        <w:tc>
          <w:tcPr>
            <w:cnfStyle w:val="001000000000" w:firstRow="0" w:lastRow="0" w:firstColumn="1" w:lastColumn="0" w:oddVBand="0" w:evenVBand="0" w:oddHBand="0" w:evenHBand="0" w:firstRowFirstColumn="0" w:firstRowLastColumn="0" w:lastRowFirstColumn="0" w:lastRowLastColumn="0"/>
            <w:tcW w:w="2268" w:type="dxa"/>
            <w:vAlign w:val="center"/>
          </w:tcPr>
          <w:p w14:paraId="473EA026" w14:textId="77777777" w:rsidR="00A14123" w:rsidRPr="0041166A" w:rsidRDefault="00A14123" w:rsidP="00A14123">
            <w:pPr>
              <w:tabs>
                <w:tab w:val="left" w:pos="6691"/>
              </w:tabs>
              <w:rPr>
                <w:rFonts w:cs="Arial"/>
                <w:sz w:val="16"/>
                <w:szCs w:val="16"/>
              </w:rPr>
            </w:pPr>
            <w:r w:rsidRPr="0041166A">
              <w:rPr>
                <w:rFonts w:cs="Arial"/>
                <w:sz w:val="16"/>
                <w:szCs w:val="16"/>
              </w:rPr>
              <w:t>Healthcare stress</w:t>
            </w:r>
          </w:p>
        </w:tc>
        <w:tc>
          <w:tcPr>
            <w:tcW w:w="6450" w:type="dxa"/>
            <w:vAlign w:val="center"/>
          </w:tcPr>
          <w:p w14:paraId="4892B96E" w14:textId="77777777" w:rsidR="00A14123" w:rsidRPr="00A14123" w:rsidRDefault="00A14123" w:rsidP="0094759D">
            <w:pPr>
              <w:tabs>
                <w:tab w:val="left" w:pos="6691"/>
              </w:tabs>
              <w:spacing w:before="40" w:after="40"/>
              <w:cnfStyle w:val="000000000000" w:firstRow="0" w:lastRow="0" w:firstColumn="0" w:lastColumn="0" w:oddVBand="0" w:evenVBand="0" w:oddHBand="0" w:evenHBand="0" w:firstRowFirstColumn="0" w:firstRowLastColumn="0" w:lastRowFirstColumn="0" w:lastRowLastColumn="0"/>
              <w:rPr>
                <w:rFonts w:cs="Arial"/>
                <w:sz w:val="16"/>
                <w:szCs w:val="16"/>
                <w:shd w:val="clear" w:color="auto" w:fill="FFFFFF"/>
              </w:rPr>
            </w:pPr>
            <w:proofErr w:type="spellStart"/>
            <w:r w:rsidRPr="00A14123">
              <w:rPr>
                <w:rFonts w:cs="Arial"/>
                <w:sz w:val="16"/>
                <w:szCs w:val="16"/>
                <w:shd w:val="clear" w:color="auto" w:fill="FFFFFF"/>
              </w:rPr>
              <w:t>Gray</w:t>
            </w:r>
            <w:proofErr w:type="spellEnd"/>
            <w:r w:rsidRPr="00A14123">
              <w:rPr>
                <w:rFonts w:cs="Arial"/>
                <w:sz w:val="16"/>
                <w:szCs w:val="16"/>
                <w:shd w:val="clear" w:color="auto" w:fill="FFFFFF"/>
              </w:rPr>
              <w:t xml:space="preserve"> SE, </w:t>
            </w:r>
            <w:r w:rsidRPr="00A14123">
              <w:rPr>
                <w:rFonts w:cs="Arial"/>
                <w:bCs/>
                <w:sz w:val="16"/>
                <w:szCs w:val="16"/>
                <w:shd w:val="clear" w:color="auto" w:fill="FFFFFF"/>
              </w:rPr>
              <w:t>Collie A</w:t>
            </w:r>
            <w:r w:rsidRPr="00A14123">
              <w:rPr>
                <w:rFonts w:cs="Arial"/>
                <w:sz w:val="16"/>
                <w:szCs w:val="16"/>
                <w:shd w:val="clear" w:color="auto" w:fill="FFFFFF"/>
              </w:rPr>
              <w:t xml:space="preserve">. </w:t>
            </w:r>
            <w:hyperlink r:id="rId44" w:history="1">
              <w:r w:rsidRPr="00A14123">
                <w:rPr>
                  <w:rFonts w:cs="Arial"/>
                  <w:sz w:val="16"/>
                  <w:szCs w:val="16"/>
                  <w:shd w:val="clear" w:color="auto" w:fill="FFFFFF"/>
                </w:rPr>
                <w:t>Experiences of Healthcare in Australia's Workers' Compensation Schemes: A Cross-Sectional Study.</w:t>
              </w:r>
            </w:hyperlink>
            <w:r w:rsidRPr="00A14123">
              <w:rPr>
                <w:rFonts w:cs="Arial"/>
                <w:sz w:val="16"/>
                <w:szCs w:val="16"/>
              </w:rPr>
              <w:t xml:space="preserve"> </w:t>
            </w:r>
            <w:r w:rsidRPr="00A14123">
              <w:rPr>
                <w:rFonts w:cs="Arial"/>
                <w:sz w:val="16"/>
                <w:szCs w:val="16"/>
                <w:shd w:val="clear" w:color="auto" w:fill="FFFFFF"/>
              </w:rPr>
              <w:t xml:space="preserve">J </w:t>
            </w:r>
            <w:proofErr w:type="spellStart"/>
            <w:r w:rsidRPr="00A14123">
              <w:rPr>
                <w:rFonts w:cs="Arial"/>
                <w:sz w:val="16"/>
                <w:szCs w:val="16"/>
                <w:shd w:val="clear" w:color="auto" w:fill="FFFFFF"/>
              </w:rPr>
              <w:t>Occup</w:t>
            </w:r>
            <w:proofErr w:type="spellEnd"/>
            <w:r w:rsidRPr="00A14123">
              <w:rPr>
                <w:rFonts w:cs="Arial"/>
                <w:sz w:val="16"/>
                <w:szCs w:val="16"/>
                <w:shd w:val="clear" w:color="auto" w:fill="FFFFFF"/>
              </w:rPr>
              <w:t xml:space="preserve"> Environ Med. 2019 Nov 15.</w:t>
            </w:r>
          </w:p>
          <w:p w14:paraId="3FE092D1" w14:textId="77777777" w:rsidR="00A14123" w:rsidRPr="00A14123" w:rsidRDefault="00A14123" w:rsidP="0094759D">
            <w:pPr>
              <w:tabs>
                <w:tab w:val="left" w:pos="6691"/>
              </w:tabs>
              <w:spacing w:before="40" w:after="40"/>
              <w:cnfStyle w:val="000000000000" w:firstRow="0" w:lastRow="0" w:firstColumn="0" w:lastColumn="0" w:oddVBand="0" w:evenVBand="0" w:oddHBand="0" w:evenHBand="0" w:firstRowFirstColumn="0" w:firstRowLastColumn="0" w:lastRowFirstColumn="0" w:lastRowLastColumn="0"/>
              <w:rPr>
                <w:rFonts w:cs="Arial"/>
                <w:sz w:val="16"/>
                <w:szCs w:val="16"/>
              </w:rPr>
            </w:pPr>
            <w:r w:rsidRPr="00A14123">
              <w:rPr>
                <w:rFonts w:cs="Arial"/>
                <w:sz w:val="16"/>
                <w:szCs w:val="16"/>
                <w:shd w:val="clear" w:color="auto" w:fill="FFFFFF"/>
              </w:rPr>
              <w:t xml:space="preserve">Lane TJ, Lilley R, Black O, et al. </w:t>
            </w:r>
            <w:hyperlink r:id="rId45" w:history="1">
              <w:r w:rsidRPr="00A14123">
                <w:rPr>
                  <w:rFonts w:cs="Arial"/>
                  <w:sz w:val="16"/>
                  <w:szCs w:val="16"/>
                  <w:shd w:val="clear" w:color="auto" w:fill="FFFFFF"/>
                </w:rPr>
                <w:t>Health Care Provider Communication and the Duration of Time Loss Among Injured Workers: A Prospective Cohort Study.</w:t>
              </w:r>
            </w:hyperlink>
            <w:r w:rsidRPr="00A14123">
              <w:rPr>
                <w:rFonts w:cs="Arial"/>
                <w:sz w:val="16"/>
                <w:szCs w:val="16"/>
              </w:rPr>
              <w:t xml:space="preserve"> </w:t>
            </w:r>
            <w:r w:rsidRPr="00A14123">
              <w:rPr>
                <w:rFonts w:cs="Arial"/>
                <w:sz w:val="16"/>
                <w:szCs w:val="16"/>
                <w:shd w:val="clear" w:color="auto" w:fill="FFFFFF"/>
              </w:rPr>
              <w:t xml:space="preserve">Med Care. 2019 Sep;57(9):718-722.  </w:t>
            </w:r>
          </w:p>
        </w:tc>
        <w:tc>
          <w:tcPr>
            <w:tcW w:w="6450" w:type="dxa"/>
          </w:tcPr>
          <w:p w14:paraId="256D3E4F" w14:textId="77777777" w:rsidR="00A14123" w:rsidRPr="00A14123" w:rsidRDefault="00A14123" w:rsidP="0094759D">
            <w:pPr>
              <w:tabs>
                <w:tab w:val="left" w:pos="6691"/>
              </w:tabs>
              <w:spacing w:before="40" w:after="40"/>
              <w:cnfStyle w:val="000000000000" w:firstRow="0" w:lastRow="0" w:firstColumn="0" w:lastColumn="0" w:oddVBand="0" w:evenVBand="0" w:oddHBand="0" w:evenHBand="0" w:firstRowFirstColumn="0" w:firstRowLastColumn="0" w:lastRowFirstColumn="0" w:lastRowLastColumn="0"/>
              <w:rPr>
                <w:rFonts w:cs="Arial"/>
                <w:sz w:val="16"/>
                <w:szCs w:val="16"/>
                <w:shd w:val="clear" w:color="auto" w:fill="FFFFFF"/>
              </w:rPr>
            </w:pPr>
            <w:r w:rsidRPr="00A14123">
              <w:rPr>
                <w:rFonts w:cs="Arial"/>
                <w:sz w:val="16"/>
                <w:szCs w:val="16"/>
                <w:shd w:val="clear" w:color="auto" w:fill="FFFFFF"/>
              </w:rPr>
              <w:t xml:space="preserve">Shows a link between stressful healthcare interactions and poorer </w:t>
            </w:r>
            <w:r w:rsidR="00F24173">
              <w:rPr>
                <w:rFonts w:cs="Arial"/>
                <w:sz w:val="16"/>
                <w:szCs w:val="16"/>
                <w:shd w:val="clear" w:color="auto" w:fill="FFFFFF"/>
              </w:rPr>
              <w:t>return to work</w:t>
            </w:r>
            <w:r w:rsidRPr="00A14123">
              <w:rPr>
                <w:rFonts w:cs="Arial"/>
                <w:sz w:val="16"/>
                <w:szCs w:val="16"/>
                <w:shd w:val="clear" w:color="auto" w:fill="FFFFFF"/>
              </w:rPr>
              <w:t xml:space="preserve"> outcomes, after adjusting for injury, demographic and employer factors. Uses NRTWS data. </w:t>
            </w:r>
          </w:p>
          <w:p w14:paraId="6AFC2321" w14:textId="77777777" w:rsidR="00A14123" w:rsidRPr="00A14123" w:rsidRDefault="00A14123" w:rsidP="0094759D">
            <w:pPr>
              <w:tabs>
                <w:tab w:val="left" w:pos="6691"/>
              </w:tabs>
              <w:spacing w:before="40" w:after="40"/>
              <w:cnfStyle w:val="000000000000" w:firstRow="0" w:lastRow="0" w:firstColumn="0" w:lastColumn="0" w:oddVBand="0" w:evenVBand="0" w:oddHBand="0" w:evenHBand="0" w:firstRowFirstColumn="0" w:firstRowLastColumn="0" w:lastRowFirstColumn="0" w:lastRowLastColumn="0"/>
              <w:rPr>
                <w:rFonts w:cs="Arial"/>
                <w:sz w:val="16"/>
                <w:szCs w:val="16"/>
                <w:shd w:val="clear" w:color="auto" w:fill="FFFFFF"/>
              </w:rPr>
            </w:pPr>
            <w:r w:rsidRPr="00A14123">
              <w:rPr>
                <w:rFonts w:cs="Arial"/>
                <w:sz w:val="16"/>
                <w:szCs w:val="16"/>
                <w:shd w:val="clear" w:color="auto" w:fill="FFFFFF"/>
              </w:rPr>
              <w:t xml:space="preserve">Demonstrates that healthcare provider communication is a significant predictor of time off work, and that stressful healthcare encounters are associated with longer periods of time off work. </w:t>
            </w:r>
          </w:p>
        </w:tc>
      </w:tr>
      <w:tr w:rsidR="00A14123" w:rsidRPr="006323ED" w14:paraId="2BFF8C8D" w14:textId="77777777" w:rsidTr="0094759D">
        <w:tc>
          <w:tcPr>
            <w:cnfStyle w:val="001000000000" w:firstRow="0" w:lastRow="0" w:firstColumn="1" w:lastColumn="0" w:oddVBand="0" w:evenVBand="0" w:oddHBand="0" w:evenHBand="0" w:firstRowFirstColumn="0" w:firstRowLastColumn="0" w:lastRowFirstColumn="0" w:lastRowLastColumn="0"/>
            <w:tcW w:w="2268" w:type="dxa"/>
            <w:vAlign w:val="center"/>
          </w:tcPr>
          <w:p w14:paraId="5BD81F9E" w14:textId="77777777" w:rsidR="00A14123" w:rsidRPr="0041166A" w:rsidRDefault="00A14123" w:rsidP="00A14123">
            <w:pPr>
              <w:tabs>
                <w:tab w:val="left" w:pos="6691"/>
              </w:tabs>
              <w:rPr>
                <w:rFonts w:cs="Arial"/>
                <w:sz w:val="16"/>
                <w:szCs w:val="16"/>
              </w:rPr>
            </w:pPr>
            <w:r w:rsidRPr="0041166A">
              <w:rPr>
                <w:rFonts w:cs="Arial"/>
                <w:sz w:val="16"/>
                <w:szCs w:val="16"/>
              </w:rPr>
              <w:t xml:space="preserve">Employer response </w:t>
            </w:r>
          </w:p>
        </w:tc>
        <w:tc>
          <w:tcPr>
            <w:tcW w:w="6450" w:type="dxa"/>
            <w:vAlign w:val="center"/>
          </w:tcPr>
          <w:p w14:paraId="0D41D7A7" w14:textId="77777777" w:rsidR="00A14123" w:rsidRPr="00A14123" w:rsidRDefault="00A14123" w:rsidP="0094759D">
            <w:pPr>
              <w:tabs>
                <w:tab w:val="left" w:pos="6691"/>
              </w:tabs>
              <w:spacing w:before="40" w:after="40"/>
              <w:cnfStyle w:val="000000000000" w:firstRow="0" w:lastRow="0" w:firstColumn="0" w:lastColumn="0" w:oddVBand="0" w:evenVBand="0" w:oddHBand="0" w:evenHBand="0" w:firstRowFirstColumn="0" w:firstRowLastColumn="0" w:lastRowFirstColumn="0" w:lastRowLastColumn="0"/>
              <w:rPr>
                <w:rFonts w:cs="Arial"/>
                <w:sz w:val="16"/>
                <w:szCs w:val="16"/>
                <w:shd w:val="clear" w:color="auto" w:fill="FFFFFF"/>
              </w:rPr>
            </w:pPr>
            <w:proofErr w:type="spellStart"/>
            <w:r w:rsidRPr="00A14123">
              <w:rPr>
                <w:rFonts w:cs="Arial"/>
                <w:sz w:val="16"/>
                <w:szCs w:val="16"/>
                <w:shd w:val="clear" w:color="auto" w:fill="FFFFFF"/>
              </w:rPr>
              <w:t>Gray</w:t>
            </w:r>
            <w:proofErr w:type="spellEnd"/>
            <w:r w:rsidRPr="00A14123">
              <w:rPr>
                <w:rFonts w:cs="Arial"/>
                <w:sz w:val="16"/>
                <w:szCs w:val="16"/>
                <w:shd w:val="clear" w:color="auto" w:fill="FFFFFF"/>
              </w:rPr>
              <w:t xml:space="preserve"> SE, Sheehan LR, Lane TJ, et al. </w:t>
            </w:r>
            <w:hyperlink r:id="rId46" w:history="1">
              <w:r w:rsidRPr="00A14123">
                <w:rPr>
                  <w:rFonts w:cs="Arial"/>
                  <w:sz w:val="16"/>
                  <w:szCs w:val="16"/>
                  <w:shd w:val="clear" w:color="auto" w:fill="FFFFFF"/>
                </w:rPr>
                <w:t>Concerns About Claiming, Post</w:t>
              </w:r>
              <w:r w:rsidR="000540AA">
                <w:rPr>
                  <w:rFonts w:cs="Arial"/>
                  <w:sz w:val="16"/>
                  <w:szCs w:val="16"/>
                  <w:shd w:val="clear" w:color="auto" w:fill="FFFFFF"/>
                </w:rPr>
                <w:t xml:space="preserve"> </w:t>
              </w:r>
              <w:r w:rsidRPr="00A14123">
                <w:rPr>
                  <w:rFonts w:cs="Arial"/>
                  <w:sz w:val="16"/>
                  <w:szCs w:val="16"/>
                  <w:shd w:val="clear" w:color="auto" w:fill="FFFFFF"/>
                </w:rPr>
                <w:t>claim Support, and Return to Work Planning: The Workplace's Impact on Return to Work.</w:t>
              </w:r>
            </w:hyperlink>
            <w:r w:rsidRPr="00A14123">
              <w:rPr>
                <w:rFonts w:cs="Arial"/>
                <w:sz w:val="16"/>
                <w:szCs w:val="16"/>
              </w:rPr>
              <w:t xml:space="preserve"> </w:t>
            </w:r>
            <w:r w:rsidRPr="00A14123">
              <w:rPr>
                <w:rFonts w:cs="Arial"/>
                <w:sz w:val="16"/>
                <w:szCs w:val="16"/>
                <w:shd w:val="clear" w:color="auto" w:fill="FFFFFF"/>
              </w:rPr>
              <w:t xml:space="preserve">J </w:t>
            </w:r>
            <w:proofErr w:type="spellStart"/>
            <w:r w:rsidRPr="00A14123">
              <w:rPr>
                <w:rFonts w:cs="Arial"/>
                <w:sz w:val="16"/>
                <w:szCs w:val="16"/>
                <w:shd w:val="clear" w:color="auto" w:fill="FFFFFF"/>
              </w:rPr>
              <w:t>Occup</w:t>
            </w:r>
            <w:proofErr w:type="spellEnd"/>
            <w:r w:rsidRPr="00A14123">
              <w:rPr>
                <w:rFonts w:cs="Arial"/>
                <w:sz w:val="16"/>
                <w:szCs w:val="16"/>
                <w:shd w:val="clear" w:color="auto" w:fill="FFFFFF"/>
              </w:rPr>
              <w:t xml:space="preserve"> Environ Med. 2019 Apr;61(4):e139-e145.</w:t>
            </w:r>
          </w:p>
          <w:p w14:paraId="31FAE0AF" w14:textId="77777777" w:rsidR="00A14123" w:rsidRPr="0094759D" w:rsidRDefault="00A14123" w:rsidP="0094759D">
            <w:pPr>
              <w:tabs>
                <w:tab w:val="left" w:pos="6691"/>
              </w:tabs>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16"/>
                <w:szCs w:val="16"/>
                <w:shd w:val="clear" w:color="auto" w:fill="FFFFFF"/>
              </w:rPr>
            </w:pPr>
            <w:proofErr w:type="spellStart"/>
            <w:r w:rsidRPr="00A14123">
              <w:rPr>
                <w:rFonts w:cs="Arial"/>
                <w:sz w:val="16"/>
                <w:szCs w:val="16"/>
                <w:shd w:val="clear" w:color="auto" w:fill="FFFFFF"/>
              </w:rPr>
              <w:t>Jetha</w:t>
            </w:r>
            <w:proofErr w:type="spellEnd"/>
            <w:r w:rsidRPr="00A14123">
              <w:rPr>
                <w:rFonts w:cs="Arial"/>
                <w:sz w:val="16"/>
                <w:szCs w:val="16"/>
                <w:shd w:val="clear" w:color="auto" w:fill="FFFFFF"/>
              </w:rPr>
              <w:t xml:space="preserve"> A, </w:t>
            </w:r>
            <w:r w:rsidRPr="00A14123">
              <w:rPr>
                <w:rFonts w:cs="Arial"/>
                <w:sz w:val="16"/>
                <w:szCs w:val="16"/>
              </w:rPr>
              <w:t>LaMontagn</w:t>
            </w:r>
            <w:r w:rsidRPr="00A14123">
              <w:rPr>
                <w:rFonts w:cs="Arial"/>
                <w:sz w:val="16"/>
                <w:szCs w:val="16"/>
                <w:shd w:val="clear" w:color="auto" w:fill="FFFFFF"/>
              </w:rPr>
              <w:t xml:space="preserve">e AD, Lilley R, et al. </w:t>
            </w:r>
            <w:hyperlink r:id="rId47" w:history="1">
              <w:r w:rsidRPr="00A14123">
                <w:rPr>
                  <w:rFonts w:cs="Arial"/>
                  <w:sz w:val="16"/>
                  <w:szCs w:val="16"/>
                  <w:shd w:val="clear" w:color="auto" w:fill="FFFFFF"/>
                </w:rPr>
                <w:t>Workplace Social System and Sustained Return-to-Work: A Study of Supervisor and Co-worker Supportiveness and Injury Reaction.</w:t>
              </w:r>
            </w:hyperlink>
            <w:r w:rsidRPr="00A14123">
              <w:rPr>
                <w:rFonts w:cs="Arial"/>
                <w:sz w:val="16"/>
                <w:szCs w:val="16"/>
                <w:shd w:val="clear" w:color="auto" w:fill="FFFFFF"/>
              </w:rPr>
              <w:t xml:space="preserve"> J </w:t>
            </w:r>
            <w:proofErr w:type="spellStart"/>
            <w:r w:rsidRPr="00A14123">
              <w:rPr>
                <w:rFonts w:cs="Arial"/>
                <w:sz w:val="16"/>
                <w:szCs w:val="16"/>
                <w:shd w:val="clear" w:color="auto" w:fill="FFFFFF"/>
              </w:rPr>
              <w:t>Occup</w:t>
            </w:r>
            <w:proofErr w:type="spellEnd"/>
            <w:r w:rsidRPr="00A14123">
              <w:rPr>
                <w:rFonts w:cs="Arial"/>
                <w:sz w:val="16"/>
                <w:szCs w:val="16"/>
                <w:shd w:val="clear" w:color="auto" w:fill="FFFFFF"/>
              </w:rPr>
              <w:t xml:space="preserve"> </w:t>
            </w:r>
            <w:proofErr w:type="spellStart"/>
            <w:r w:rsidRPr="00A14123">
              <w:rPr>
                <w:rFonts w:cs="Arial"/>
                <w:sz w:val="16"/>
                <w:szCs w:val="16"/>
                <w:shd w:val="clear" w:color="auto" w:fill="FFFFFF"/>
              </w:rPr>
              <w:t>Rehabil</w:t>
            </w:r>
            <w:proofErr w:type="spellEnd"/>
            <w:r w:rsidRPr="00A14123">
              <w:rPr>
                <w:rFonts w:cs="Arial"/>
                <w:sz w:val="16"/>
                <w:szCs w:val="16"/>
                <w:shd w:val="clear" w:color="auto" w:fill="FFFFFF"/>
              </w:rPr>
              <w:t>. 2018 Sep;28(3):486-494.</w:t>
            </w:r>
            <w:r w:rsidR="0094759D">
              <w:rPr>
                <w:rFonts w:cs="Arial"/>
                <w:color w:val="000000"/>
                <w:sz w:val="16"/>
                <w:szCs w:val="16"/>
                <w:shd w:val="clear" w:color="auto" w:fill="FFFFFF"/>
              </w:rPr>
              <w:t> </w:t>
            </w:r>
          </w:p>
        </w:tc>
        <w:tc>
          <w:tcPr>
            <w:tcW w:w="6450" w:type="dxa"/>
          </w:tcPr>
          <w:p w14:paraId="008A6A34" w14:textId="77777777" w:rsidR="00A14123" w:rsidRPr="00A14123" w:rsidRDefault="00A14123" w:rsidP="0094759D">
            <w:pPr>
              <w:tabs>
                <w:tab w:val="left" w:pos="6691"/>
              </w:tabs>
              <w:spacing w:before="40" w:after="40"/>
              <w:cnfStyle w:val="000000000000" w:firstRow="0" w:lastRow="0" w:firstColumn="0" w:lastColumn="0" w:oddVBand="0" w:evenVBand="0" w:oddHBand="0" w:evenHBand="0" w:firstRowFirstColumn="0" w:firstRowLastColumn="0" w:lastRowFirstColumn="0" w:lastRowLastColumn="0"/>
              <w:rPr>
                <w:rFonts w:cs="Arial"/>
                <w:sz w:val="16"/>
                <w:szCs w:val="16"/>
                <w:shd w:val="clear" w:color="auto" w:fill="FFFFFF"/>
              </w:rPr>
            </w:pPr>
            <w:r w:rsidRPr="00A14123">
              <w:rPr>
                <w:rFonts w:cs="Arial"/>
                <w:sz w:val="16"/>
                <w:szCs w:val="16"/>
                <w:shd w:val="clear" w:color="auto" w:fill="FFFFFF"/>
              </w:rPr>
              <w:t xml:space="preserve">Uses NRTWS data to demonstrate that supportive workplaces and good workplace support are linked with better </w:t>
            </w:r>
            <w:r w:rsidR="00F24173">
              <w:rPr>
                <w:rFonts w:cs="Arial"/>
                <w:sz w:val="16"/>
                <w:szCs w:val="16"/>
                <w:shd w:val="clear" w:color="auto" w:fill="FFFFFF"/>
              </w:rPr>
              <w:t>return to work</w:t>
            </w:r>
            <w:r w:rsidRPr="00A14123">
              <w:rPr>
                <w:rFonts w:cs="Arial"/>
                <w:sz w:val="16"/>
                <w:szCs w:val="16"/>
                <w:shd w:val="clear" w:color="auto" w:fill="FFFFFF"/>
              </w:rPr>
              <w:t xml:space="preserve"> outcomes. </w:t>
            </w:r>
          </w:p>
          <w:p w14:paraId="5918EB16" w14:textId="77777777" w:rsidR="00A14123" w:rsidRPr="00A14123" w:rsidRDefault="00A14123" w:rsidP="0094759D">
            <w:pPr>
              <w:tabs>
                <w:tab w:val="left" w:pos="6691"/>
              </w:tabs>
              <w:spacing w:before="40" w:after="40"/>
              <w:cnfStyle w:val="000000000000" w:firstRow="0" w:lastRow="0" w:firstColumn="0" w:lastColumn="0" w:oddVBand="0" w:evenVBand="0" w:oddHBand="0" w:evenHBand="0" w:firstRowFirstColumn="0" w:firstRowLastColumn="0" w:lastRowFirstColumn="0" w:lastRowLastColumn="0"/>
              <w:rPr>
                <w:rFonts w:cs="Arial"/>
                <w:sz w:val="16"/>
                <w:szCs w:val="16"/>
                <w:shd w:val="clear" w:color="auto" w:fill="FFFFFF"/>
              </w:rPr>
            </w:pPr>
            <w:r w:rsidRPr="00A14123">
              <w:rPr>
                <w:rFonts w:cs="Arial"/>
                <w:sz w:val="16"/>
                <w:szCs w:val="16"/>
                <w:shd w:val="clear" w:color="auto" w:fill="FFFFFF"/>
              </w:rPr>
              <w:t xml:space="preserve">Study in an Australian injured worker sample showing that positive supervisor and workplace response to injury is predictive of better </w:t>
            </w:r>
            <w:r w:rsidR="00F24173">
              <w:rPr>
                <w:rFonts w:cs="Arial"/>
                <w:sz w:val="16"/>
                <w:szCs w:val="16"/>
                <w:shd w:val="clear" w:color="auto" w:fill="FFFFFF"/>
              </w:rPr>
              <w:t xml:space="preserve">return to work </w:t>
            </w:r>
            <w:r w:rsidRPr="00A14123">
              <w:rPr>
                <w:rFonts w:cs="Arial"/>
                <w:sz w:val="16"/>
                <w:szCs w:val="16"/>
                <w:shd w:val="clear" w:color="auto" w:fill="FFFFFF"/>
              </w:rPr>
              <w:t xml:space="preserve">outcomes. </w:t>
            </w:r>
          </w:p>
        </w:tc>
      </w:tr>
      <w:tr w:rsidR="00A14123" w:rsidRPr="006323ED" w14:paraId="7AD4099E" w14:textId="77777777" w:rsidTr="0094759D">
        <w:tc>
          <w:tcPr>
            <w:cnfStyle w:val="001000000000" w:firstRow="0" w:lastRow="0" w:firstColumn="1" w:lastColumn="0" w:oddVBand="0" w:evenVBand="0" w:oddHBand="0" w:evenHBand="0" w:firstRowFirstColumn="0" w:firstRowLastColumn="0" w:lastRowFirstColumn="0" w:lastRowLastColumn="0"/>
            <w:tcW w:w="2268" w:type="dxa"/>
            <w:vAlign w:val="center"/>
          </w:tcPr>
          <w:p w14:paraId="05BFCF33" w14:textId="77777777" w:rsidR="00A14123" w:rsidRPr="0041166A" w:rsidRDefault="00A14123" w:rsidP="00A14123">
            <w:pPr>
              <w:tabs>
                <w:tab w:val="left" w:pos="6691"/>
              </w:tabs>
              <w:rPr>
                <w:rFonts w:cs="Arial"/>
                <w:sz w:val="16"/>
                <w:szCs w:val="16"/>
              </w:rPr>
            </w:pPr>
            <w:r w:rsidRPr="0041166A">
              <w:rPr>
                <w:rFonts w:cs="Arial"/>
                <w:sz w:val="16"/>
                <w:szCs w:val="16"/>
              </w:rPr>
              <w:t>Employer contact</w:t>
            </w:r>
          </w:p>
        </w:tc>
        <w:tc>
          <w:tcPr>
            <w:tcW w:w="6450" w:type="dxa"/>
            <w:vAlign w:val="center"/>
          </w:tcPr>
          <w:p w14:paraId="2A7C8011" w14:textId="77777777" w:rsidR="00A14123" w:rsidRPr="00A14123" w:rsidRDefault="004F2B64" w:rsidP="0094759D">
            <w:pPr>
              <w:shd w:val="clear" w:color="auto" w:fill="FFFFFF"/>
              <w:spacing w:before="40" w:after="40"/>
              <w:cnfStyle w:val="000000000000" w:firstRow="0" w:lastRow="0" w:firstColumn="0" w:lastColumn="0" w:oddVBand="0" w:evenVBand="0" w:oddHBand="0" w:evenHBand="0" w:firstRowFirstColumn="0" w:firstRowLastColumn="0" w:lastRowFirstColumn="0" w:lastRowLastColumn="0"/>
              <w:rPr>
                <w:rFonts w:cs="Arial"/>
                <w:sz w:val="16"/>
                <w:szCs w:val="16"/>
                <w:shd w:val="clear" w:color="auto" w:fill="FFFFFF"/>
              </w:rPr>
            </w:pPr>
            <w:hyperlink r:id="rId48" w:history="1">
              <w:r w:rsidR="00A14123" w:rsidRPr="00A14123">
                <w:rPr>
                  <w:rFonts w:cs="Arial"/>
                  <w:sz w:val="16"/>
                  <w:szCs w:val="16"/>
                  <w:shd w:val="clear" w:color="auto" w:fill="FFFFFF"/>
                </w:rPr>
                <w:t>Hepburn CG</w:t>
              </w:r>
            </w:hyperlink>
            <w:r w:rsidR="00A14123" w:rsidRPr="00A14123">
              <w:rPr>
                <w:rFonts w:cs="Arial"/>
                <w:sz w:val="16"/>
                <w:szCs w:val="16"/>
                <w:shd w:val="clear" w:color="auto" w:fill="FFFFFF"/>
              </w:rPr>
              <w:t>1, </w:t>
            </w:r>
            <w:proofErr w:type="spellStart"/>
            <w:r w:rsidR="002D5560">
              <w:fldChar w:fldCharType="begin"/>
            </w:r>
            <w:r w:rsidR="002D5560">
              <w:instrText xml:space="preserve"> HYPERLINK "https://www.ncbi.nlm.nih.gov/pubmed/?term=Kelloway%20EK%5BAuthor%5D&amp;cauthor=true&amp;cauthor_uid=21058855" </w:instrText>
            </w:r>
            <w:r w:rsidR="002D5560">
              <w:fldChar w:fldCharType="separate"/>
            </w:r>
            <w:r w:rsidR="00A14123" w:rsidRPr="00A14123">
              <w:rPr>
                <w:rFonts w:cs="Arial"/>
                <w:sz w:val="16"/>
                <w:szCs w:val="16"/>
                <w:shd w:val="clear" w:color="auto" w:fill="FFFFFF"/>
              </w:rPr>
              <w:t>Kelloway</w:t>
            </w:r>
            <w:proofErr w:type="spellEnd"/>
            <w:r w:rsidR="00A14123" w:rsidRPr="00A14123">
              <w:rPr>
                <w:rFonts w:cs="Arial"/>
                <w:sz w:val="16"/>
                <w:szCs w:val="16"/>
                <w:shd w:val="clear" w:color="auto" w:fill="FFFFFF"/>
              </w:rPr>
              <w:t xml:space="preserve"> EK</w:t>
            </w:r>
            <w:r w:rsidR="002D5560">
              <w:rPr>
                <w:rFonts w:cs="Arial"/>
                <w:sz w:val="16"/>
                <w:szCs w:val="16"/>
                <w:shd w:val="clear" w:color="auto" w:fill="FFFFFF"/>
              </w:rPr>
              <w:fldChar w:fldCharType="end"/>
            </w:r>
            <w:r w:rsidR="00A14123" w:rsidRPr="00A14123">
              <w:rPr>
                <w:rFonts w:cs="Arial"/>
                <w:sz w:val="16"/>
                <w:szCs w:val="16"/>
                <w:shd w:val="clear" w:color="auto" w:fill="FFFFFF"/>
              </w:rPr>
              <w:t>, </w:t>
            </w:r>
            <w:proofErr w:type="spellStart"/>
            <w:r w:rsidR="002D5560">
              <w:fldChar w:fldCharType="begin"/>
            </w:r>
            <w:r w:rsidR="002D5560">
              <w:instrText xml:space="preserve"> HYPERLINK "https://www.ncbi.nlm.nih.gov/pubmed/?term=Franche%20RL%5BAuthor%5D&amp;cauthor=true&amp;cauthor_uid=21058855" </w:instrText>
            </w:r>
            <w:r w:rsidR="002D5560">
              <w:fldChar w:fldCharType="separate"/>
            </w:r>
            <w:r w:rsidR="00A14123" w:rsidRPr="00A14123">
              <w:rPr>
                <w:rFonts w:cs="Arial"/>
                <w:sz w:val="16"/>
                <w:szCs w:val="16"/>
                <w:shd w:val="clear" w:color="auto" w:fill="FFFFFF"/>
              </w:rPr>
              <w:t>Franche</w:t>
            </w:r>
            <w:proofErr w:type="spellEnd"/>
            <w:r w:rsidR="00A14123" w:rsidRPr="00A14123">
              <w:rPr>
                <w:rFonts w:cs="Arial"/>
                <w:sz w:val="16"/>
                <w:szCs w:val="16"/>
                <w:shd w:val="clear" w:color="auto" w:fill="FFFFFF"/>
              </w:rPr>
              <w:t xml:space="preserve"> RL</w:t>
            </w:r>
            <w:r w:rsidR="002D5560">
              <w:rPr>
                <w:rFonts w:cs="Arial"/>
                <w:sz w:val="16"/>
                <w:szCs w:val="16"/>
                <w:shd w:val="clear" w:color="auto" w:fill="FFFFFF"/>
              </w:rPr>
              <w:fldChar w:fldCharType="end"/>
            </w:r>
            <w:r w:rsidR="00A14123" w:rsidRPr="00A14123">
              <w:rPr>
                <w:rFonts w:cs="Arial"/>
                <w:sz w:val="16"/>
                <w:szCs w:val="16"/>
                <w:shd w:val="clear" w:color="auto" w:fill="FFFFFF"/>
              </w:rPr>
              <w:t xml:space="preserve">. Early employer response to workplace injury: what injured workers perceive as fair and why these perceptions matter. </w:t>
            </w:r>
            <w:hyperlink r:id="rId49" w:tooltip="Journal of occupational health psychology." w:history="1">
              <w:r w:rsidR="00A14123" w:rsidRPr="00A14123">
                <w:rPr>
                  <w:rFonts w:cs="Arial"/>
                  <w:sz w:val="16"/>
                  <w:szCs w:val="16"/>
                  <w:shd w:val="clear" w:color="auto" w:fill="FFFFFF"/>
                </w:rPr>
                <w:t xml:space="preserve">J </w:t>
              </w:r>
              <w:proofErr w:type="spellStart"/>
              <w:r w:rsidR="00A14123" w:rsidRPr="00A14123">
                <w:rPr>
                  <w:rFonts w:cs="Arial"/>
                  <w:sz w:val="16"/>
                  <w:szCs w:val="16"/>
                  <w:shd w:val="clear" w:color="auto" w:fill="FFFFFF"/>
                </w:rPr>
                <w:t>Occup</w:t>
              </w:r>
              <w:proofErr w:type="spellEnd"/>
              <w:r w:rsidR="00A14123" w:rsidRPr="00A14123">
                <w:rPr>
                  <w:rFonts w:cs="Arial"/>
                  <w:sz w:val="16"/>
                  <w:szCs w:val="16"/>
                  <w:shd w:val="clear" w:color="auto" w:fill="FFFFFF"/>
                </w:rPr>
                <w:t xml:space="preserve"> Health Psychol.</w:t>
              </w:r>
            </w:hyperlink>
            <w:r w:rsidR="0094759D">
              <w:rPr>
                <w:rFonts w:cs="Arial"/>
                <w:sz w:val="16"/>
                <w:szCs w:val="16"/>
                <w:shd w:val="clear" w:color="auto" w:fill="FFFFFF"/>
              </w:rPr>
              <w:t xml:space="preserve"> 2010 Oct;15(4):409-20. </w:t>
            </w:r>
          </w:p>
        </w:tc>
        <w:tc>
          <w:tcPr>
            <w:tcW w:w="6450" w:type="dxa"/>
          </w:tcPr>
          <w:p w14:paraId="0549C9EC" w14:textId="77777777" w:rsidR="00A14123" w:rsidRPr="00A14123" w:rsidRDefault="00A14123" w:rsidP="0094759D">
            <w:pPr>
              <w:tabs>
                <w:tab w:val="left" w:pos="6691"/>
              </w:tabs>
              <w:spacing w:before="40" w:after="40"/>
              <w:cnfStyle w:val="000000000000" w:firstRow="0" w:lastRow="0" w:firstColumn="0" w:lastColumn="0" w:oddVBand="0" w:evenVBand="0" w:oddHBand="0" w:evenHBand="0" w:firstRowFirstColumn="0" w:firstRowLastColumn="0" w:lastRowFirstColumn="0" w:lastRowLastColumn="0"/>
              <w:rPr>
                <w:rFonts w:cs="Arial"/>
                <w:sz w:val="16"/>
                <w:szCs w:val="16"/>
                <w:shd w:val="clear" w:color="auto" w:fill="FFFFFF"/>
              </w:rPr>
            </w:pPr>
            <w:r w:rsidRPr="00A14123">
              <w:rPr>
                <w:rFonts w:cs="Arial"/>
                <w:sz w:val="16"/>
                <w:szCs w:val="16"/>
                <w:shd w:val="clear" w:color="auto" w:fill="FFFFFF"/>
              </w:rPr>
              <w:t xml:space="preserve">Study shows that early contact by the employer after worker injury is associated with worker’s perceiving the return to work process as fairer. </w:t>
            </w:r>
          </w:p>
        </w:tc>
      </w:tr>
      <w:tr w:rsidR="00A14123" w:rsidRPr="006323ED" w14:paraId="3129A893" w14:textId="77777777" w:rsidTr="0094759D">
        <w:tc>
          <w:tcPr>
            <w:cnfStyle w:val="001000000000" w:firstRow="0" w:lastRow="0" w:firstColumn="1" w:lastColumn="0" w:oddVBand="0" w:evenVBand="0" w:oddHBand="0" w:evenHBand="0" w:firstRowFirstColumn="0" w:firstRowLastColumn="0" w:lastRowFirstColumn="0" w:lastRowLastColumn="0"/>
            <w:tcW w:w="2268" w:type="dxa"/>
            <w:vAlign w:val="center"/>
          </w:tcPr>
          <w:p w14:paraId="3381FD04" w14:textId="77777777" w:rsidR="00A14123" w:rsidRPr="0041166A" w:rsidRDefault="00A14123" w:rsidP="00A14123">
            <w:pPr>
              <w:tabs>
                <w:tab w:val="left" w:pos="6691"/>
              </w:tabs>
              <w:rPr>
                <w:rFonts w:cs="Arial"/>
                <w:sz w:val="16"/>
                <w:szCs w:val="16"/>
              </w:rPr>
            </w:pPr>
            <w:r w:rsidRPr="0041166A">
              <w:rPr>
                <w:rFonts w:cs="Arial"/>
                <w:sz w:val="16"/>
                <w:szCs w:val="16"/>
              </w:rPr>
              <w:t>Return to work planning</w:t>
            </w:r>
          </w:p>
        </w:tc>
        <w:tc>
          <w:tcPr>
            <w:tcW w:w="6450" w:type="dxa"/>
            <w:vAlign w:val="center"/>
          </w:tcPr>
          <w:p w14:paraId="1CD45DCB" w14:textId="77777777" w:rsidR="00A14123" w:rsidRPr="0094759D" w:rsidRDefault="00A14123" w:rsidP="0094759D">
            <w:pPr>
              <w:tabs>
                <w:tab w:val="left" w:pos="6691"/>
              </w:tabs>
              <w:spacing w:before="40" w:after="40"/>
              <w:cnfStyle w:val="000000000000" w:firstRow="0" w:lastRow="0" w:firstColumn="0" w:lastColumn="0" w:oddVBand="0" w:evenVBand="0" w:oddHBand="0" w:evenHBand="0" w:firstRowFirstColumn="0" w:firstRowLastColumn="0" w:lastRowFirstColumn="0" w:lastRowLastColumn="0"/>
              <w:rPr>
                <w:rFonts w:cs="Arial"/>
                <w:sz w:val="16"/>
                <w:szCs w:val="16"/>
                <w:shd w:val="clear" w:color="auto" w:fill="FFFFFF"/>
              </w:rPr>
            </w:pPr>
            <w:proofErr w:type="spellStart"/>
            <w:r w:rsidRPr="00A14123">
              <w:rPr>
                <w:rFonts w:cs="Arial"/>
                <w:sz w:val="16"/>
                <w:szCs w:val="16"/>
                <w:shd w:val="clear" w:color="auto" w:fill="FFFFFF"/>
              </w:rPr>
              <w:t>Gray</w:t>
            </w:r>
            <w:proofErr w:type="spellEnd"/>
            <w:r w:rsidRPr="00A14123">
              <w:rPr>
                <w:rFonts w:cs="Arial"/>
                <w:sz w:val="16"/>
                <w:szCs w:val="16"/>
                <w:shd w:val="clear" w:color="auto" w:fill="FFFFFF"/>
              </w:rPr>
              <w:t xml:space="preserve"> SE, Sheehan LR, Lane TJ, et al. </w:t>
            </w:r>
            <w:hyperlink r:id="rId50" w:history="1">
              <w:r w:rsidRPr="00A14123">
                <w:rPr>
                  <w:rFonts w:cs="Arial"/>
                  <w:sz w:val="16"/>
                  <w:szCs w:val="16"/>
                  <w:shd w:val="clear" w:color="auto" w:fill="FFFFFF"/>
                </w:rPr>
                <w:t xml:space="preserve">Concerns About Claiming, </w:t>
              </w:r>
              <w:proofErr w:type="spellStart"/>
              <w:r w:rsidRPr="00A14123">
                <w:rPr>
                  <w:rFonts w:cs="Arial"/>
                  <w:sz w:val="16"/>
                  <w:szCs w:val="16"/>
                  <w:shd w:val="clear" w:color="auto" w:fill="FFFFFF"/>
                </w:rPr>
                <w:t>Postclaim</w:t>
              </w:r>
              <w:proofErr w:type="spellEnd"/>
              <w:r w:rsidRPr="00A14123">
                <w:rPr>
                  <w:rFonts w:cs="Arial"/>
                  <w:sz w:val="16"/>
                  <w:szCs w:val="16"/>
                  <w:shd w:val="clear" w:color="auto" w:fill="FFFFFF"/>
                </w:rPr>
                <w:t xml:space="preserve"> Support, and Return to Work Planning: The Workplace's Impact on Return to Work.</w:t>
              </w:r>
            </w:hyperlink>
            <w:r w:rsidRPr="00A14123">
              <w:rPr>
                <w:rFonts w:cs="Arial"/>
                <w:sz w:val="16"/>
                <w:szCs w:val="16"/>
              </w:rPr>
              <w:t xml:space="preserve"> </w:t>
            </w:r>
            <w:r w:rsidRPr="00A14123">
              <w:rPr>
                <w:rFonts w:cs="Arial"/>
                <w:sz w:val="16"/>
                <w:szCs w:val="16"/>
                <w:shd w:val="clear" w:color="auto" w:fill="FFFFFF"/>
              </w:rPr>
              <w:t xml:space="preserve">J </w:t>
            </w:r>
            <w:proofErr w:type="spellStart"/>
            <w:r w:rsidRPr="00A14123">
              <w:rPr>
                <w:rFonts w:cs="Arial"/>
                <w:sz w:val="16"/>
                <w:szCs w:val="16"/>
                <w:shd w:val="clear" w:color="auto" w:fill="FFFFFF"/>
              </w:rPr>
              <w:t>Occup</w:t>
            </w:r>
            <w:proofErr w:type="spellEnd"/>
            <w:r w:rsidRPr="00A14123">
              <w:rPr>
                <w:rFonts w:cs="Arial"/>
                <w:sz w:val="16"/>
                <w:szCs w:val="16"/>
                <w:shd w:val="clear" w:color="auto" w:fill="FFFFFF"/>
              </w:rPr>
              <w:t xml:space="preserve"> Environ</w:t>
            </w:r>
            <w:r w:rsidR="0094759D">
              <w:rPr>
                <w:rFonts w:cs="Arial"/>
                <w:sz w:val="16"/>
                <w:szCs w:val="16"/>
                <w:shd w:val="clear" w:color="auto" w:fill="FFFFFF"/>
              </w:rPr>
              <w:t xml:space="preserve"> Med. 2019 Apr;61(4):e139-e145.</w:t>
            </w:r>
          </w:p>
        </w:tc>
        <w:tc>
          <w:tcPr>
            <w:tcW w:w="6450" w:type="dxa"/>
          </w:tcPr>
          <w:p w14:paraId="1A1EF856" w14:textId="77777777" w:rsidR="00A14123" w:rsidRPr="00A14123" w:rsidRDefault="00A14123" w:rsidP="0094759D">
            <w:pPr>
              <w:tabs>
                <w:tab w:val="left" w:pos="6691"/>
              </w:tabs>
              <w:spacing w:before="40" w:after="40"/>
              <w:cnfStyle w:val="000000000000" w:firstRow="0" w:lastRow="0" w:firstColumn="0" w:lastColumn="0" w:oddVBand="0" w:evenVBand="0" w:oddHBand="0" w:evenHBand="0" w:firstRowFirstColumn="0" w:firstRowLastColumn="0" w:lastRowFirstColumn="0" w:lastRowLastColumn="0"/>
              <w:rPr>
                <w:rFonts w:cs="Arial"/>
                <w:sz w:val="16"/>
                <w:szCs w:val="16"/>
                <w:shd w:val="clear" w:color="auto" w:fill="FFFFFF"/>
              </w:rPr>
            </w:pPr>
            <w:r w:rsidRPr="00A14123">
              <w:rPr>
                <w:rFonts w:cs="Arial"/>
                <w:sz w:val="16"/>
                <w:szCs w:val="16"/>
                <w:shd w:val="clear" w:color="auto" w:fill="FFFFFF"/>
              </w:rPr>
              <w:t>Shows that having an</w:t>
            </w:r>
            <w:r w:rsidR="00F24173">
              <w:rPr>
                <w:rFonts w:cs="Arial"/>
                <w:sz w:val="16"/>
                <w:szCs w:val="16"/>
                <w:shd w:val="clear" w:color="auto" w:fill="FFFFFF"/>
              </w:rPr>
              <w:t>d</w:t>
            </w:r>
            <w:r w:rsidRPr="00A14123">
              <w:rPr>
                <w:rFonts w:cs="Arial"/>
                <w:sz w:val="16"/>
                <w:szCs w:val="16"/>
                <w:shd w:val="clear" w:color="auto" w:fill="FFFFFF"/>
              </w:rPr>
              <w:t xml:space="preserve"> </w:t>
            </w:r>
            <w:r w:rsidR="00F24173">
              <w:rPr>
                <w:rFonts w:cs="Arial"/>
                <w:sz w:val="16"/>
                <w:szCs w:val="16"/>
                <w:shd w:val="clear" w:color="auto" w:fill="FFFFFF"/>
              </w:rPr>
              <w:t>return to work</w:t>
            </w:r>
            <w:r w:rsidRPr="00A14123">
              <w:rPr>
                <w:rFonts w:cs="Arial"/>
                <w:sz w:val="16"/>
                <w:szCs w:val="16"/>
                <w:shd w:val="clear" w:color="auto" w:fill="FFFFFF"/>
              </w:rPr>
              <w:t xml:space="preserve"> plan is linked with better self-reported </w:t>
            </w:r>
            <w:r w:rsidR="00F24173">
              <w:rPr>
                <w:rFonts w:cs="Arial"/>
                <w:sz w:val="16"/>
                <w:szCs w:val="16"/>
                <w:shd w:val="clear" w:color="auto" w:fill="FFFFFF"/>
              </w:rPr>
              <w:t>return to work</w:t>
            </w:r>
            <w:r w:rsidRPr="00A14123">
              <w:rPr>
                <w:rFonts w:cs="Arial"/>
                <w:sz w:val="16"/>
                <w:szCs w:val="16"/>
                <w:shd w:val="clear" w:color="auto" w:fill="FFFFFF"/>
              </w:rPr>
              <w:t xml:space="preserve"> outcomes, after accounting for a range of worker, injury, and employer factors. </w:t>
            </w:r>
          </w:p>
        </w:tc>
      </w:tr>
      <w:tr w:rsidR="00A14123" w:rsidRPr="006323ED" w14:paraId="5C22FEA8" w14:textId="77777777" w:rsidTr="0094759D">
        <w:tc>
          <w:tcPr>
            <w:cnfStyle w:val="001000000000" w:firstRow="0" w:lastRow="0" w:firstColumn="1" w:lastColumn="0" w:oddVBand="0" w:evenVBand="0" w:oddHBand="0" w:evenHBand="0" w:firstRowFirstColumn="0" w:firstRowLastColumn="0" w:lastRowFirstColumn="0" w:lastRowLastColumn="0"/>
            <w:tcW w:w="2268" w:type="dxa"/>
            <w:vAlign w:val="center"/>
          </w:tcPr>
          <w:p w14:paraId="2634E51F" w14:textId="77777777" w:rsidR="00A14123" w:rsidRPr="0041166A" w:rsidRDefault="00A14123" w:rsidP="00A14123">
            <w:pPr>
              <w:tabs>
                <w:tab w:val="left" w:pos="6691"/>
              </w:tabs>
              <w:rPr>
                <w:rFonts w:cs="Arial"/>
                <w:sz w:val="16"/>
                <w:szCs w:val="16"/>
              </w:rPr>
            </w:pPr>
            <w:r w:rsidRPr="0041166A">
              <w:rPr>
                <w:rFonts w:cs="Arial"/>
                <w:sz w:val="16"/>
                <w:szCs w:val="16"/>
              </w:rPr>
              <w:t>Workplace accommodation</w:t>
            </w:r>
            <w:r w:rsidR="0041166A">
              <w:rPr>
                <w:rFonts w:cs="Arial"/>
                <w:sz w:val="16"/>
                <w:szCs w:val="16"/>
              </w:rPr>
              <w:t>s</w:t>
            </w:r>
          </w:p>
        </w:tc>
        <w:tc>
          <w:tcPr>
            <w:tcW w:w="6450" w:type="dxa"/>
            <w:vAlign w:val="center"/>
          </w:tcPr>
          <w:p w14:paraId="5646A84F" w14:textId="77777777" w:rsidR="00A14123" w:rsidRPr="00A14123" w:rsidRDefault="00A14123" w:rsidP="0094759D">
            <w:pPr>
              <w:tabs>
                <w:tab w:val="left" w:pos="6691"/>
              </w:tabs>
              <w:spacing w:before="40" w:after="40"/>
              <w:cnfStyle w:val="000000000000" w:firstRow="0" w:lastRow="0" w:firstColumn="0" w:lastColumn="0" w:oddVBand="0" w:evenVBand="0" w:oddHBand="0" w:evenHBand="0" w:firstRowFirstColumn="0" w:firstRowLastColumn="0" w:lastRowFirstColumn="0" w:lastRowLastColumn="0"/>
              <w:rPr>
                <w:rFonts w:cs="Arial"/>
                <w:sz w:val="16"/>
                <w:szCs w:val="16"/>
              </w:rPr>
            </w:pPr>
            <w:proofErr w:type="spellStart"/>
            <w:r w:rsidRPr="00A14123">
              <w:rPr>
                <w:rFonts w:cs="Arial"/>
                <w:bCs/>
                <w:sz w:val="16"/>
                <w:szCs w:val="16"/>
                <w:shd w:val="clear" w:color="auto" w:fill="FFFFFF"/>
              </w:rPr>
              <w:t>Franche</w:t>
            </w:r>
            <w:proofErr w:type="spellEnd"/>
            <w:r w:rsidRPr="00A14123">
              <w:rPr>
                <w:rFonts w:cs="Arial"/>
                <w:sz w:val="16"/>
                <w:szCs w:val="16"/>
                <w:shd w:val="clear" w:color="auto" w:fill="FFFFFF"/>
              </w:rPr>
              <w:t xml:space="preserve"> RL, Cullen K, Clarke J, et al. </w:t>
            </w:r>
            <w:hyperlink r:id="rId51" w:history="1">
              <w:r w:rsidRPr="00A14123">
                <w:rPr>
                  <w:rFonts w:cs="Arial"/>
                  <w:sz w:val="16"/>
                  <w:szCs w:val="16"/>
                  <w:shd w:val="clear" w:color="auto" w:fill="FFFFFF"/>
                </w:rPr>
                <w:t>Workplace-based return-to-work interventions: a systematic </w:t>
              </w:r>
              <w:r w:rsidRPr="00A14123">
                <w:rPr>
                  <w:rFonts w:cs="Arial"/>
                  <w:bCs/>
                  <w:sz w:val="16"/>
                  <w:szCs w:val="16"/>
                  <w:shd w:val="clear" w:color="auto" w:fill="FFFFFF"/>
                </w:rPr>
                <w:t>review</w:t>
              </w:r>
              <w:r w:rsidRPr="00A14123">
                <w:rPr>
                  <w:rFonts w:cs="Arial"/>
                  <w:sz w:val="16"/>
                  <w:szCs w:val="16"/>
                  <w:shd w:val="clear" w:color="auto" w:fill="FFFFFF"/>
                </w:rPr>
                <w:t> of the quantitative literature.</w:t>
              </w:r>
            </w:hyperlink>
            <w:r w:rsidRPr="00A14123">
              <w:rPr>
                <w:rFonts w:cs="Arial"/>
                <w:sz w:val="16"/>
                <w:szCs w:val="16"/>
              </w:rPr>
              <w:t xml:space="preserve"> </w:t>
            </w:r>
            <w:r w:rsidRPr="00A14123">
              <w:rPr>
                <w:rFonts w:cs="Arial"/>
                <w:sz w:val="16"/>
                <w:szCs w:val="16"/>
                <w:shd w:val="clear" w:color="auto" w:fill="FFFFFF"/>
              </w:rPr>
              <w:t xml:space="preserve">J </w:t>
            </w:r>
            <w:proofErr w:type="spellStart"/>
            <w:r w:rsidRPr="00A14123">
              <w:rPr>
                <w:rFonts w:cs="Arial"/>
                <w:sz w:val="16"/>
                <w:szCs w:val="16"/>
                <w:shd w:val="clear" w:color="auto" w:fill="FFFFFF"/>
              </w:rPr>
              <w:t>Occup</w:t>
            </w:r>
            <w:proofErr w:type="spellEnd"/>
            <w:r w:rsidRPr="00A14123">
              <w:rPr>
                <w:rFonts w:cs="Arial"/>
                <w:sz w:val="16"/>
                <w:szCs w:val="16"/>
                <w:shd w:val="clear" w:color="auto" w:fill="FFFFFF"/>
              </w:rPr>
              <w:t xml:space="preserve"> </w:t>
            </w:r>
            <w:proofErr w:type="spellStart"/>
            <w:r w:rsidRPr="00A14123">
              <w:rPr>
                <w:rFonts w:cs="Arial"/>
                <w:sz w:val="16"/>
                <w:szCs w:val="16"/>
                <w:shd w:val="clear" w:color="auto" w:fill="FFFFFF"/>
              </w:rPr>
              <w:t>Rehabil</w:t>
            </w:r>
            <w:proofErr w:type="spellEnd"/>
            <w:r w:rsidRPr="00A14123">
              <w:rPr>
                <w:rFonts w:cs="Arial"/>
                <w:sz w:val="16"/>
                <w:szCs w:val="16"/>
                <w:shd w:val="clear" w:color="auto" w:fill="FFFFFF"/>
              </w:rPr>
              <w:t>. </w:t>
            </w:r>
            <w:r w:rsidRPr="00A14123">
              <w:rPr>
                <w:rFonts w:cs="Arial"/>
                <w:bCs/>
                <w:sz w:val="16"/>
                <w:szCs w:val="16"/>
                <w:shd w:val="clear" w:color="auto" w:fill="FFFFFF"/>
              </w:rPr>
              <w:t>2005</w:t>
            </w:r>
            <w:r w:rsidRPr="00A14123">
              <w:rPr>
                <w:rFonts w:cs="Arial"/>
                <w:sz w:val="16"/>
                <w:szCs w:val="16"/>
                <w:shd w:val="clear" w:color="auto" w:fill="FFFFFF"/>
              </w:rPr>
              <w:t> Dec;15(4):607-31. </w:t>
            </w:r>
            <w:r w:rsidRPr="00A14123">
              <w:rPr>
                <w:rFonts w:cs="Arial"/>
                <w:bCs/>
                <w:sz w:val="16"/>
                <w:szCs w:val="16"/>
                <w:shd w:val="clear" w:color="auto" w:fill="FFFFFF"/>
              </w:rPr>
              <w:t>Review</w:t>
            </w:r>
            <w:r w:rsidRPr="00A14123">
              <w:rPr>
                <w:rFonts w:cs="Arial"/>
                <w:sz w:val="16"/>
                <w:szCs w:val="16"/>
                <w:shd w:val="clear" w:color="auto" w:fill="FFFFFF"/>
              </w:rPr>
              <w:t>.</w:t>
            </w:r>
          </w:p>
        </w:tc>
        <w:tc>
          <w:tcPr>
            <w:tcW w:w="6450" w:type="dxa"/>
          </w:tcPr>
          <w:p w14:paraId="6FB3B491" w14:textId="77777777" w:rsidR="00A14123" w:rsidRPr="00A14123" w:rsidRDefault="00A14123" w:rsidP="0094759D">
            <w:pPr>
              <w:tabs>
                <w:tab w:val="left" w:pos="6691"/>
              </w:tabs>
              <w:spacing w:before="40" w:after="40"/>
              <w:cnfStyle w:val="000000000000" w:firstRow="0" w:lastRow="0" w:firstColumn="0" w:lastColumn="0" w:oddVBand="0" w:evenVBand="0" w:oddHBand="0" w:evenHBand="0" w:firstRowFirstColumn="0" w:firstRowLastColumn="0" w:lastRowFirstColumn="0" w:lastRowLastColumn="0"/>
              <w:rPr>
                <w:rFonts w:cs="Arial"/>
                <w:sz w:val="16"/>
                <w:szCs w:val="16"/>
                <w:shd w:val="clear" w:color="auto" w:fill="FFFFFF"/>
              </w:rPr>
            </w:pPr>
            <w:r w:rsidRPr="00A14123">
              <w:rPr>
                <w:rFonts w:cs="Arial"/>
                <w:sz w:val="16"/>
                <w:szCs w:val="16"/>
                <w:shd w:val="clear" w:color="auto" w:fill="FFFFFF"/>
              </w:rPr>
              <w:t xml:space="preserve">Review of workplace intervention literature which shows there is strong evidence that workplace accommodation is linked with better </w:t>
            </w:r>
            <w:r w:rsidR="00F24173">
              <w:rPr>
                <w:rFonts w:cs="Arial"/>
                <w:sz w:val="16"/>
                <w:szCs w:val="16"/>
                <w:shd w:val="clear" w:color="auto" w:fill="FFFFFF"/>
              </w:rPr>
              <w:t>return to work</w:t>
            </w:r>
            <w:r w:rsidR="0094759D">
              <w:rPr>
                <w:rFonts w:cs="Arial"/>
                <w:sz w:val="16"/>
                <w:szCs w:val="16"/>
                <w:shd w:val="clear" w:color="auto" w:fill="FFFFFF"/>
              </w:rPr>
              <w:t xml:space="preserve"> outcomes. </w:t>
            </w:r>
          </w:p>
        </w:tc>
      </w:tr>
      <w:tr w:rsidR="00A14123" w:rsidRPr="006323ED" w14:paraId="16CE1C74" w14:textId="77777777" w:rsidTr="0094759D">
        <w:tc>
          <w:tcPr>
            <w:cnfStyle w:val="001000000000" w:firstRow="0" w:lastRow="0" w:firstColumn="1" w:lastColumn="0" w:oddVBand="0" w:evenVBand="0" w:oddHBand="0" w:evenHBand="0" w:firstRowFirstColumn="0" w:firstRowLastColumn="0" w:lastRowFirstColumn="0" w:lastRowLastColumn="0"/>
            <w:tcW w:w="2268" w:type="dxa"/>
            <w:vAlign w:val="center"/>
          </w:tcPr>
          <w:p w14:paraId="45906718" w14:textId="77777777" w:rsidR="00A14123" w:rsidRPr="0041166A" w:rsidRDefault="00A14123" w:rsidP="00A14123">
            <w:pPr>
              <w:tabs>
                <w:tab w:val="left" w:pos="6691"/>
              </w:tabs>
              <w:rPr>
                <w:rFonts w:cs="Arial"/>
                <w:sz w:val="16"/>
                <w:szCs w:val="16"/>
              </w:rPr>
            </w:pPr>
            <w:r w:rsidRPr="0041166A">
              <w:rPr>
                <w:rFonts w:cs="Arial"/>
                <w:sz w:val="16"/>
                <w:szCs w:val="16"/>
              </w:rPr>
              <w:t>Return to work self-efficacy</w:t>
            </w:r>
          </w:p>
        </w:tc>
        <w:tc>
          <w:tcPr>
            <w:tcW w:w="6450" w:type="dxa"/>
            <w:vAlign w:val="center"/>
          </w:tcPr>
          <w:p w14:paraId="4FCFEB6B" w14:textId="77777777" w:rsidR="00A14123" w:rsidRPr="00A14123" w:rsidRDefault="00A14123" w:rsidP="0094759D">
            <w:pPr>
              <w:tabs>
                <w:tab w:val="left" w:pos="6691"/>
              </w:tabs>
              <w:spacing w:before="40" w:after="40"/>
              <w:cnfStyle w:val="000000000000" w:firstRow="0" w:lastRow="0" w:firstColumn="0" w:lastColumn="0" w:oddVBand="0" w:evenVBand="0" w:oddHBand="0" w:evenHBand="0" w:firstRowFirstColumn="0" w:firstRowLastColumn="0" w:lastRowFirstColumn="0" w:lastRowLastColumn="0"/>
              <w:rPr>
                <w:rFonts w:cs="Arial"/>
                <w:sz w:val="16"/>
                <w:szCs w:val="16"/>
              </w:rPr>
            </w:pPr>
            <w:r w:rsidRPr="00A14123">
              <w:rPr>
                <w:rFonts w:cs="Arial"/>
                <w:sz w:val="16"/>
                <w:szCs w:val="16"/>
                <w:shd w:val="clear" w:color="auto" w:fill="FFFFFF"/>
              </w:rPr>
              <w:t xml:space="preserve">Black O, </w:t>
            </w:r>
            <w:proofErr w:type="spellStart"/>
            <w:r w:rsidRPr="00A14123">
              <w:rPr>
                <w:rFonts w:cs="Arial"/>
                <w:sz w:val="16"/>
                <w:szCs w:val="16"/>
                <w:shd w:val="clear" w:color="auto" w:fill="FFFFFF"/>
              </w:rPr>
              <w:t>Keegel</w:t>
            </w:r>
            <w:proofErr w:type="spellEnd"/>
            <w:r w:rsidRPr="00A14123">
              <w:rPr>
                <w:rFonts w:cs="Arial"/>
                <w:sz w:val="16"/>
                <w:szCs w:val="16"/>
                <w:shd w:val="clear" w:color="auto" w:fill="FFFFFF"/>
              </w:rPr>
              <w:t xml:space="preserve"> T, Sim MR, et al. </w:t>
            </w:r>
            <w:hyperlink r:id="rId52" w:history="1">
              <w:r w:rsidRPr="00A14123">
                <w:rPr>
                  <w:rFonts w:cs="Arial"/>
                  <w:sz w:val="16"/>
                  <w:szCs w:val="16"/>
                  <w:shd w:val="clear" w:color="auto" w:fill="FFFFFF"/>
                </w:rPr>
                <w:t>The Effect of Self-Efficacy on Return-to-Work Outcomes for Workers with Psychological or Upper-Body Musculoskeletal Injuries: A Review of the Literature.</w:t>
              </w:r>
            </w:hyperlink>
            <w:r w:rsidRPr="00A14123">
              <w:rPr>
                <w:rFonts w:cs="Arial"/>
                <w:sz w:val="16"/>
                <w:szCs w:val="16"/>
              </w:rPr>
              <w:t xml:space="preserve"> </w:t>
            </w:r>
            <w:r w:rsidRPr="00A14123">
              <w:rPr>
                <w:rFonts w:cs="Arial"/>
                <w:sz w:val="16"/>
                <w:szCs w:val="16"/>
                <w:shd w:val="clear" w:color="auto" w:fill="FFFFFF"/>
              </w:rPr>
              <w:t xml:space="preserve">J </w:t>
            </w:r>
            <w:proofErr w:type="spellStart"/>
            <w:r w:rsidRPr="00A14123">
              <w:rPr>
                <w:rFonts w:cs="Arial"/>
                <w:sz w:val="16"/>
                <w:szCs w:val="16"/>
                <w:shd w:val="clear" w:color="auto" w:fill="FFFFFF"/>
              </w:rPr>
              <w:t>Occup</w:t>
            </w:r>
            <w:proofErr w:type="spellEnd"/>
            <w:r w:rsidRPr="00A14123">
              <w:rPr>
                <w:rFonts w:cs="Arial"/>
                <w:sz w:val="16"/>
                <w:szCs w:val="16"/>
                <w:shd w:val="clear" w:color="auto" w:fill="FFFFFF"/>
              </w:rPr>
              <w:t xml:space="preserve"> </w:t>
            </w:r>
            <w:proofErr w:type="spellStart"/>
            <w:r w:rsidRPr="00A14123">
              <w:rPr>
                <w:rFonts w:cs="Arial"/>
                <w:sz w:val="16"/>
                <w:szCs w:val="16"/>
                <w:shd w:val="clear" w:color="auto" w:fill="FFFFFF"/>
              </w:rPr>
              <w:t>Rehabil</w:t>
            </w:r>
            <w:proofErr w:type="spellEnd"/>
            <w:r w:rsidRPr="00A14123">
              <w:rPr>
                <w:rFonts w:cs="Arial"/>
                <w:sz w:val="16"/>
                <w:szCs w:val="16"/>
                <w:shd w:val="clear" w:color="auto" w:fill="FFFFFF"/>
              </w:rPr>
              <w:t>. 2018 Mar;28(1):16-27.</w:t>
            </w:r>
          </w:p>
          <w:p w14:paraId="768750B1" w14:textId="77777777" w:rsidR="00A14123" w:rsidRPr="00A14123" w:rsidRDefault="00A14123" w:rsidP="0094759D">
            <w:pPr>
              <w:tabs>
                <w:tab w:val="left" w:pos="6691"/>
              </w:tabs>
              <w:spacing w:before="40" w:after="40"/>
              <w:cnfStyle w:val="000000000000" w:firstRow="0" w:lastRow="0" w:firstColumn="0" w:lastColumn="0" w:oddVBand="0" w:evenVBand="0" w:oddHBand="0" w:evenHBand="0" w:firstRowFirstColumn="0" w:firstRowLastColumn="0" w:lastRowFirstColumn="0" w:lastRowLastColumn="0"/>
              <w:rPr>
                <w:rFonts w:cs="Arial"/>
                <w:sz w:val="16"/>
                <w:szCs w:val="16"/>
              </w:rPr>
            </w:pPr>
            <w:r w:rsidRPr="00A14123">
              <w:rPr>
                <w:rFonts w:cs="Arial"/>
                <w:sz w:val="16"/>
                <w:szCs w:val="16"/>
                <w:shd w:val="clear" w:color="auto" w:fill="FFFFFF"/>
              </w:rPr>
              <w:t>Black O, Sim MR, Collie A, </w:t>
            </w:r>
            <w:r w:rsidRPr="00A14123">
              <w:rPr>
                <w:rFonts w:cs="Arial"/>
                <w:bCs/>
                <w:sz w:val="16"/>
                <w:szCs w:val="16"/>
                <w:shd w:val="clear" w:color="auto" w:fill="FFFFFF"/>
              </w:rPr>
              <w:t>et al</w:t>
            </w:r>
            <w:r w:rsidRPr="00A14123">
              <w:rPr>
                <w:rFonts w:cs="Arial"/>
                <w:sz w:val="16"/>
                <w:szCs w:val="16"/>
                <w:shd w:val="clear" w:color="auto" w:fill="FFFFFF"/>
              </w:rPr>
              <w:t xml:space="preserve">. </w:t>
            </w:r>
            <w:hyperlink r:id="rId53" w:history="1">
              <w:r w:rsidRPr="00A14123">
                <w:rPr>
                  <w:rFonts w:cs="Arial"/>
                  <w:sz w:val="16"/>
                  <w:szCs w:val="16"/>
                  <w:shd w:val="clear" w:color="auto" w:fill="FFFFFF"/>
                </w:rPr>
                <w:t>Differences Over Time in the Prognostic Effect of </w:t>
              </w:r>
              <w:r w:rsidRPr="00A14123">
                <w:rPr>
                  <w:rFonts w:cs="Arial"/>
                  <w:bCs/>
                  <w:sz w:val="16"/>
                  <w:szCs w:val="16"/>
                  <w:shd w:val="clear" w:color="auto" w:fill="FFFFFF"/>
                </w:rPr>
                <w:t>Return to Work</w:t>
              </w:r>
              <w:r w:rsidRPr="00A14123">
                <w:rPr>
                  <w:rFonts w:cs="Arial"/>
                  <w:sz w:val="16"/>
                  <w:szCs w:val="16"/>
                  <w:shd w:val="clear" w:color="auto" w:fill="FFFFFF"/>
                </w:rPr>
                <w:t> Self-Efficacy on a Sustained </w:t>
              </w:r>
              <w:r w:rsidRPr="00A14123">
                <w:rPr>
                  <w:rFonts w:cs="Arial"/>
                  <w:bCs/>
                  <w:sz w:val="16"/>
                  <w:szCs w:val="16"/>
                  <w:shd w:val="clear" w:color="auto" w:fill="FFFFFF"/>
                </w:rPr>
                <w:t>Return to Work</w:t>
              </w:r>
              <w:r w:rsidRPr="00A14123">
                <w:rPr>
                  <w:rFonts w:cs="Arial"/>
                  <w:sz w:val="16"/>
                  <w:szCs w:val="16"/>
                  <w:shd w:val="clear" w:color="auto" w:fill="FFFFFF"/>
                </w:rPr>
                <w:t>.</w:t>
              </w:r>
            </w:hyperlink>
            <w:r w:rsidRPr="00A14123">
              <w:rPr>
                <w:rFonts w:cs="Arial"/>
                <w:sz w:val="16"/>
                <w:szCs w:val="16"/>
              </w:rPr>
              <w:t xml:space="preserve"> </w:t>
            </w:r>
            <w:r w:rsidRPr="00A14123">
              <w:rPr>
                <w:rFonts w:cs="Arial"/>
                <w:sz w:val="16"/>
                <w:szCs w:val="16"/>
                <w:shd w:val="clear" w:color="auto" w:fill="FFFFFF"/>
              </w:rPr>
              <w:t xml:space="preserve">J </w:t>
            </w:r>
            <w:proofErr w:type="spellStart"/>
            <w:r w:rsidRPr="00A14123">
              <w:rPr>
                <w:rFonts w:cs="Arial"/>
                <w:sz w:val="16"/>
                <w:szCs w:val="16"/>
                <w:shd w:val="clear" w:color="auto" w:fill="FFFFFF"/>
              </w:rPr>
              <w:t>Occup</w:t>
            </w:r>
            <w:proofErr w:type="spellEnd"/>
            <w:r w:rsidRPr="00A14123">
              <w:rPr>
                <w:rFonts w:cs="Arial"/>
                <w:sz w:val="16"/>
                <w:szCs w:val="16"/>
                <w:shd w:val="clear" w:color="auto" w:fill="FFFFFF"/>
              </w:rPr>
              <w:t xml:space="preserve"> </w:t>
            </w:r>
            <w:proofErr w:type="spellStart"/>
            <w:r w:rsidRPr="00A14123">
              <w:rPr>
                <w:rFonts w:cs="Arial"/>
                <w:sz w:val="16"/>
                <w:szCs w:val="16"/>
                <w:shd w:val="clear" w:color="auto" w:fill="FFFFFF"/>
              </w:rPr>
              <w:t>Rehabil</w:t>
            </w:r>
            <w:proofErr w:type="spellEnd"/>
            <w:r w:rsidRPr="00A14123">
              <w:rPr>
                <w:rFonts w:cs="Arial"/>
                <w:sz w:val="16"/>
                <w:szCs w:val="16"/>
                <w:shd w:val="clear" w:color="auto" w:fill="FFFFFF"/>
              </w:rPr>
              <w:t>. 2019 Sep;29(3):660-667.</w:t>
            </w:r>
          </w:p>
        </w:tc>
        <w:tc>
          <w:tcPr>
            <w:tcW w:w="6450" w:type="dxa"/>
          </w:tcPr>
          <w:p w14:paraId="402F9AED" w14:textId="77777777" w:rsidR="00A14123" w:rsidRPr="00A14123" w:rsidRDefault="00A14123" w:rsidP="0094759D">
            <w:pPr>
              <w:tabs>
                <w:tab w:val="left" w:pos="6691"/>
              </w:tabs>
              <w:spacing w:before="40" w:after="40"/>
              <w:cnfStyle w:val="000000000000" w:firstRow="0" w:lastRow="0" w:firstColumn="0" w:lastColumn="0" w:oddVBand="0" w:evenVBand="0" w:oddHBand="0" w:evenHBand="0" w:firstRowFirstColumn="0" w:firstRowLastColumn="0" w:lastRowFirstColumn="0" w:lastRowLastColumn="0"/>
              <w:rPr>
                <w:rFonts w:cs="Arial"/>
                <w:sz w:val="16"/>
                <w:szCs w:val="16"/>
                <w:shd w:val="clear" w:color="auto" w:fill="FFFFFF"/>
              </w:rPr>
            </w:pPr>
            <w:r w:rsidRPr="00A14123">
              <w:rPr>
                <w:rFonts w:cs="Arial"/>
                <w:sz w:val="16"/>
                <w:szCs w:val="16"/>
                <w:shd w:val="clear" w:color="auto" w:fill="FFFFFF"/>
              </w:rPr>
              <w:t xml:space="preserve">Review of global self-efficacy literature which shows that better worker </w:t>
            </w:r>
            <w:proofErr w:type="gramStart"/>
            <w:r w:rsidR="00F24173">
              <w:rPr>
                <w:rFonts w:cs="Arial"/>
                <w:sz w:val="16"/>
                <w:szCs w:val="16"/>
                <w:shd w:val="clear" w:color="auto" w:fill="FFFFFF"/>
              </w:rPr>
              <w:t>return</w:t>
            </w:r>
            <w:proofErr w:type="gramEnd"/>
            <w:r w:rsidR="00F24173">
              <w:rPr>
                <w:rFonts w:cs="Arial"/>
                <w:sz w:val="16"/>
                <w:szCs w:val="16"/>
                <w:shd w:val="clear" w:color="auto" w:fill="FFFFFF"/>
              </w:rPr>
              <w:t xml:space="preserve"> to work</w:t>
            </w:r>
            <w:r w:rsidRPr="00A14123">
              <w:rPr>
                <w:rFonts w:cs="Arial"/>
                <w:sz w:val="16"/>
                <w:szCs w:val="16"/>
                <w:shd w:val="clear" w:color="auto" w:fill="FFFFFF"/>
              </w:rPr>
              <w:t xml:space="preserve"> self-efficacy is linked with improved </w:t>
            </w:r>
            <w:r w:rsidR="00F24173">
              <w:rPr>
                <w:rFonts w:cs="Arial"/>
                <w:sz w:val="16"/>
                <w:szCs w:val="16"/>
                <w:shd w:val="clear" w:color="auto" w:fill="FFFFFF"/>
              </w:rPr>
              <w:t>return to work</w:t>
            </w:r>
            <w:r w:rsidRPr="00A14123">
              <w:rPr>
                <w:rFonts w:cs="Arial"/>
                <w:sz w:val="16"/>
                <w:szCs w:val="16"/>
                <w:shd w:val="clear" w:color="auto" w:fill="FFFFFF"/>
              </w:rPr>
              <w:t xml:space="preserve"> outcomes. </w:t>
            </w:r>
          </w:p>
          <w:p w14:paraId="7D573D0D" w14:textId="77777777" w:rsidR="00A14123" w:rsidRPr="00A14123" w:rsidRDefault="00A14123" w:rsidP="0094759D">
            <w:pPr>
              <w:tabs>
                <w:tab w:val="left" w:pos="6691"/>
              </w:tabs>
              <w:spacing w:before="40" w:after="40"/>
              <w:cnfStyle w:val="000000000000" w:firstRow="0" w:lastRow="0" w:firstColumn="0" w:lastColumn="0" w:oddVBand="0" w:evenVBand="0" w:oddHBand="0" w:evenHBand="0" w:firstRowFirstColumn="0" w:firstRowLastColumn="0" w:lastRowFirstColumn="0" w:lastRowLastColumn="0"/>
              <w:rPr>
                <w:rFonts w:cs="Arial"/>
                <w:sz w:val="16"/>
                <w:szCs w:val="16"/>
                <w:shd w:val="clear" w:color="auto" w:fill="FFFFFF"/>
              </w:rPr>
            </w:pPr>
            <w:r w:rsidRPr="00A14123">
              <w:rPr>
                <w:rFonts w:cs="Arial"/>
                <w:sz w:val="16"/>
                <w:szCs w:val="16"/>
                <w:shd w:val="clear" w:color="auto" w:fill="FFFFFF"/>
              </w:rPr>
              <w:t xml:space="preserve">Study in an Australian injured worker cohort showing a link between </w:t>
            </w:r>
            <w:r w:rsidR="00F24173">
              <w:rPr>
                <w:rFonts w:cs="Arial"/>
                <w:sz w:val="16"/>
                <w:szCs w:val="16"/>
                <w:shd w:val="clear" w:color="auto" w:fill="FFFFFF"/>
              </w:rPr>
              <w:t>return to work</w:t>
            </w:r>
            <w:r w:rsidRPr="00A14123">
              <w:rPr>
                <w:rFonts w:cs="Arial"/>
                <w:sz w:val="16"/>
                <w:szCs w:val="16"/>
                <w:shd w:val="clear" w:color="auto" w:fill="FFFFFF"/>
              </w:rPr>
              <w:t xml:space="preserve"> self-efficacy and later </w:t>
            </w:r>
            <w:r w:rsidR="00F24173">
              <w:rPr>
                <w:rFonts w:cs="Arial"/>
                <w:sz w:val="16"/>
                <w:szCs w:val="16"/>
                <w:shd w:val="clear" w:color="auto" w:fill="FFFFFF"/>
              </w:rPr>
              <w:t>return to work</w:t>
            </w:r>
            <w:r w:rsidRPr="00A14123">
              <w:rPr>
                <w:rFonts w:cs="Arial"/>
                <w:sz w:val="16"/>
                <w:szCs w:val="16"/>
                <w:shd w:val="clear" w:color="auto" w:fill="FFFFFF"/>
              </w:rPr>
              <w:t xml:space="preserve">. </w:t>
            </w:r>
          </w:p>
        </w:tc>
      </w:tr>
    </w:tbl>
    <w:p w14:paraId="7C264403" w14:textId="77777777" w:rsidR="00A430A4" w:rsidRDefault="00A430A4" w:rsidP="00774793">
      <w:pPr>
        <w:rPr>
          <w:highlight w:val="yellow"/>
        </w:rPr>
      </w:pPr>
    </w:p>
    <w:p w14:paraId="630C17EE" w14:textId="77777777" w:rsidR="00F24173" w:rsidRDefault="00B71CB7" w:rsidP="00B71CB7">
      <w:pPr>
        <w:sectPr w:rsidR="00F24173" w:rsidSect="00974C7A">
          <w:headerReference w:type="default" r:id="rId54"/>
          <w:footerReference w:type="default" r:id="rId55"/>
          <w:headerReference w:type="first" r:id="rId56"/>
          <w:pgSz w:w="16838" w:h="11906" w:orient="landscape"/>
          <w:pgMar w:top="1985" w:right="2127" w:bottom="1440" w:left="1440" w:header="794" w:footer="273" w:gutter="0"/>
          <w:cols w:space="708"/>
          <w:docGrid w:linePitch="360"/>
        </w:sectPr>
      </w:pPr>
      <w:r>
        <w:br w:type="page"/>
      </w:r>
    </w:p>
    <w:p w14:paraId="61FEF494" w14:textId="77777777" w:rsidR="00B71CB7" w:rsidRPr="0071751B" w:rsidRDefault="00B71CB7" w:rsidP="00F24173">
      <w:pPr>
        <w:pStyle w:val="Heading1"/>
        <w:spacing w:before="240"/>
      </w:pPr>
      <w:r>
        <w:t>Primary</w:t>
      </w:r>
      <w:r w:rsidRPr="0071751B">
        <w:t xml:space="preserve"> Data Sources</w:t>
      </w:r>
    </w:p>
    <w:p w14:paraId="0CF9B9EB" w14:textId="73F32730" w:rsidR="00B71CB7" w:rsidRPr="006323ED" w:rsidRDefault="00B71CB7" w:rsidP="00B764E6">
      <w:pPr>
        <w:pStyle w:val="Heading3"/>
        <w:rPr>
          <w:rFonts w:ascii="Arial" w:hAnsi="Arial"/>
          <w:shd w:val="clear" w:color="auto" w:fill="FFFFFF"/>
        </w:rPr>
      </w:pPr>
      <w:r w:rsidRPr="00B764E6">
        <w:rPr>
          <w:shd w:val="clear" w:color="auto" w:fill="FFFFFF"/>
        </w:rPr>
        <w:t>National Data</w:t>
      </w:r>
      <w:r w:rsidR="00D553DC">
        <w:rPr>
          <w:shd w:val="clear" w:color="auto" w:fill="FFFFFF"/>
        </w:rPr>
        <w:t xml:space="preserve"> S</w:t>
      </w:r>
      <w:r w:rsidRPr="00B764E6">
        <w:rPr>
          <w:shd w:val="clear" w:color="auto" w:fill="FFFFFF"/>
        </w:rPr>
        <w:t>et for Compensation-based statistics</w:t>
      </w:r>
      <w:r w:rsidRPr="006323ED">
        <w:rPr>
          <w:rFonts w:ascii="Arial" w:hAnsi="Arial"/>
          <w:shd w:val="clear" w:color="auto" w:fill="FFFFFF"/>
        </w:rPr>
        <w:t xml:space="preserve"> (NDS)</w:t>
      </w:r>
    </w:p>
    <w:p w14:paraId="635E3247" w14:textId="1B980C38" w:rsidR="00B71CB7" w:rsidRPr="00B71CB7" w:rsidRDefault="00B71CB7" w:rsidP="00B71CB7">
      <w:pPr>
        <w:rPr>
          <w:shd w:val="clear" w:color="auto" w:fill="FFFFFF"/>
        </w:rPr>
      </w:pPr>
      <w:r w:rsidRPr="00B71CB7">
        <w:rPr>
          <w:shd w:val="clear" w:color="auto" w:fill="FFFFFF"/>
        </w:rPr>
        <w:t xml:space="preserve">The </w:t>
      </w:r>
      <w:hyperlink r:id="rId57" w:history="1">
        <w:r w:rsidRPr="00B764E6">
          <w:rPr>
            <w:rStyle w:val="Hyperlink"/>
            <w:shd w:val="clear" w:color="auto" w:fill="FFFFFF"/>
          </w:rPr>
          <w:t>NDS</w:t>
        </w:r>
      </w:hyperlink>
      <w:r w:rsidRPr="00B71CB7">
        <w:rPr>
          <w:shd w:val="clear" w:color="auto" w:fill="FFFFFF"/>
        </w:rPr>
        <w:t xml:space="preserve"> includes administrative workers’ compensation claim data at case-level. This is a minimum data</w:t>
      </w:r>
      <w:r w:rsidR="00E93017">
        <w:rPr>
          <w:shd w:val="clear" w:color="auto" w:fill="FFFFFF"/>
        </w:rPr>
        <w:t xml:space="preserve"> </w:t>
      </w:r>
      <w:r w:rsidRPr="00B71CB7">
        <w:rPr>
          <w:shd w:val="clear" w:color="auto" w:fill="FFFFFF"/>
        </w:rPr>
        <w:t xml:space="preserve">set that allows for </w:t>
      </w:r>
      <w:r w:rsidR="007A791E">
        <w:rPr>
          <w:shd w:val="clear" w:color="auto" w:fill="FFFFFF"/>
        </w:rPr>
        <w:t xml:space="preserve">a </w:t>
      </w:r>
      <w:r w:rsidRPr="00B71CB7">
        <w:rPr>
          <w:shd w:val="clear" w:color="auto" w:fill="FFFFFF"/>
        </w:rPr>
        <w:t xml:space="preserve">combination of variables across disparate sources. The NDS includes all compensated work-related injuries </w:t>
      </w:r>
      <w:r w:rsidR="00070162">
        <w:rPr>
          <w:shd w:val="clear" w:color="auto" w:fill="FFFFFF"/>
        </w:rPr>
        <w:t xml:space="preserve">and diseases </w:t>
      </w:r>
      <w:r w:rsidRPr="00B71CB7">
        <w:rPr>
          <w:shd w:val="clear" w:color="auto" w:fill="FFFFFF"/>
        </w:rPr>
        <w:t xml:space="preserve">that are either (1) covered by jurisdictional workers’ compensation authorities; or (2) managed by self-insured employers who are regulated by the jurisdiction. Each case is updated for up to six years. These data are compiled annually by Safe Work Australia with updates for the financial year (July to June). The NDS has served as the basis for a considerable amount of research, and it contains variables that are used commonly by </w:t>
      </w:r>
      <w:r w:rsidR="005A1B82">
        <w:rPr>
          <w:shd w:val="clear" w:color="auto" w:fill="FFFFFF"/>
        </w:rPr>
        <w:t xml:space="preserve">workers’ compensation authorities </w:t>
      </w:r>
      <w:r w:rsidRPr="00B71CB7">
        <w:rPr>
          <w:shd w:val="clear" w:color="auto" w:fill="FFFFFF"/>
        </w:rPr>
        <w:t xml:space="preserve">for jurisdiction-specific performance monitoring. </w:t>
      </w:r>
    </w:p>
    <w:p w14:paraId="2FBBB9B1" w14:textId="77777777" w:rsidR="00B71CB7" w:rsidRPr="00B71CB7" w:rsidRDefault="00B71CB7" w:rsidP="00B71CB7">
      <w:pPr>
        <w:rPr>
          <w:rFonts w:cs="Arial"/>
          <w:sz w:val="24"/>
          <w:szCs w:val="20"/>
          <w:shd w:val="clear" w:color="auto" w:fill="FFFFFF"/>
        </w:rPr>
      </w:pPr>
      <w:r w:rsidRPr="00B71CB7">
        <w:rPr>
          <w:rStyle w:val="IWHGBodycopyChar"/>
          <w:b w:val="0"/>
        </w:rPr>
        <w:t xml:space="preserve">As </w:t>
      </w:r>
      <w:r w:rsidR="005A1B82">
        <w:rPr>
          <w:rStyle w:val="IWHGBodycopyChar"/>
          <w:b w:val="0"/>
        </w:rPr>
        <w:t>the NDS</w:t>
      </w:r>
      <w:r w:rsidRPr="00B71CB7">
        <w:rPr>
          <w:rStyle w:val="IWHGBodycopyChar"/>
          <w:b w:val="0"/>
        </w:rPr>
        <w:t xml:space="preserve"> is amalgamated from the various jurisdictions, there are often inter-jurisdictional differences in quality and coding interpretations. For instance, while all jurisdictions use the</w:t>
      </w:r>
      <w:r w:rsidRPr="00B71CB7">
        <w:rPr>
          <w:rFonts w:cs="Arial"/>
          <w:sz w:val="24"/>
          <w:szCs w:val="20"/>
          <w:shd w:val="clear" w:color="auto" w:fill="FFFFFF"/>
        </w:rPr>
        <w:t xml:space="preserve"> </w:t>
      </w:r>
      <w:hyperlink r:id="rId58" w:history="1">
        <w:r w:rsidRPr="00B71CB7">
          <w:rPr>
            <w:rStyle w:val="Hyperlink"/>
            <w:rFonts w:cs="Arial"/>
            <w:szCs w:val="20"/>
            <w:shd w:val="clear" w:color="auto" w:fill="FFFFFF"/>
          </w:rPr>
          <w:t>Type of Occurrence Classification System (TOOCS)</w:t>
        </w:r>
      </w:hyperlink>
      <w:r w:rsidRPr="00B71CB7">
        <w:rPr>
          <w:rStyle w:val="IWHGBodycopyChar"/>
          <w:b w:val="0"/>
          <w:szCs w:val="20"/>
        </w:rPr>
        <w:t>, this is not applied consistently between them and one jurisdiction continues to use a prior version of TOOCS.</w:t>
      </w:r>
      <w:r w:rsidRPr="00B71CB7">
        <w:rPr>
          <w:rFonts w:cs="Arial"/>
          <w:sz w:val="24"/>
          <w:szCs w:val="20"/>
          <w:shd w:val="clear" w:color="auto" w:fill="FFFFFF"/>
        </w:rPr>
        <w:t xml:space="preserve"> </w:t>
      </w:r>
    </w:p>
    <w:p w14:paraId="4FCF845B" w14:textId="77777777" w:rsidR="00B71CB7" w:rsidRPr="006323ED" w:rsidRDefault="00B71CB7" w:rsidP="00B764E6">
      <w:pPr>
        <w:pStyle w:val="Heading3"/>
        <w:rPr>
          <w:rFonts w:ascii="Arial" w:hAnsi="Arial"/>
          <w:shd w:val="clear" w:color="auto" w:fill="FFFFFF"/>
        </w:rPr>
      </w:pPr>
      <w:r w:rsidRPr="00B764E6">
        <w:rPr>
          <w:shd w:val="clear" w:color="auto" w:fill="FFFFFF"/>
        </w:rPr>
        <w:t>National Return to Work Survey</w:t>
      </w:r>
      <w:r>
        <w:rPr>
          <w:rFonts w:ascii="Arial" w:hAnsi="Arial"/>
          <w:shd w:val="clear" w:color="auto" w:fill="FFFFFF"/>
        </w:rPr>
        <w:t xml:space="preserve"> (NRTWS</w:t>
      </w:r>
      <w:r w:rsidRPr="006323ED">
        <w:rPr>
          <w:rFonts w:ascii="Arial" w:hAnsi="Arial"/>
          <w:shd w:val="clear" w:color="auto" w:fill="FFFFFF"/>
        </w:rPr>
        <w:t>)</w:t>
      </w:r>
    </w:p>
    <w:p w14:paraId="671574B8" w14:textId="77777777" w:rsidR="00B71CB7" w:rsidRDefault="00B71CB7" w:rsidP="00B71CB7">
      <w:pPr>
        <w:rPr>
          <w:shd w:val="clear" w:color="auto" w:fill="FFFFFF"/>
        </w:rPr>
      </w:pPr>
      <w:r>
        <w:rPr>
          <w:shd w:val="clear" w:color="auto" w:fill="FFFFFF"/>
        </w:rPr>
        <w:t xml:space="preserve">The </w:t>
      </w:r>
      <w:hyperlink r:id="rId59" w:history="1">
        <w:r w:rsidRPr="00B764E6">
          <w:rPr>
            <w:rStyle w:val="Hyperlink"/>
            <w:shd w:val="clear" w:color="auto" w:fill="FFFFFF"/>
          </w:rPr>
          <w:t>NRTWS</w:t>
        </w:r>
      </w:hyperlink>
      <w:r w:rsidRPr="0071751B">
        <w:rPr>
          <w:shd w:val="clear" w:color="auto" w:fill="FFFFFF"/>
        </w:rPr>
        <w:t xml:space="preserve"> is a national survey of approximately 5,000 injured workers with accepted workers’ compensation claims who took at least one day of compensated time off work. The survey is administered every two years with the most recent iteration in 2018. Prior to 2014, it was administered annually. Data are collected across </w:t>
      </w:r>
      <w:proofErr w:type="gramStart"/>
      <w:r w:rsidRPr="0071751B">
        <w:rPr>
          <w:shd w:val="clear" w:color="auto" w:fill="FFFFFF"/>
        </w:rPr>
        <w:t>the majority of</w:t>
      </w:r>
      <w:proofErr w:type="gramEnd"/>
      <w:r w:rsidRPr="0071751B">
        <w:rPr>
          <w:shd w:val="clear" w:color="auto" w:fill="FFFFFF"/>
        </w:rPr>
        <w:t xml:space="preserve"> jurisdictions, although South Australia did not participate in the 2018 iteration of the survey. </w:t>
      </w:r>
    </w:p>
    <w:p w14:paraId="3D2B92A2" w14:textId="5360C6C5" w:rsidR="00B71CB7" w:rsidRDefault="00B71CB7" w:rsidP="00B71CB7">
      <w:pPr>
        <w:rPr>
          <w:shd w:val="clear" w:color="auto" w:fill="FFFFFF"/>
        </w:rPr>
      </w:pPr>
      <w:r w:rsidRPr="0071751B">
        <w:rPr>
          <w:shd w:val="clear" w:color="auto" w:fill="FFFFFF"/>
        </w:rPr>
        <w:t>The NRTW</w:t>
      </w:r>
      <w:r>
        <w:rPr>
          <w:shd w:val="clear" w:color="auto" w:fill="FFFFFF"/>
        </w:rPr>
        <w:t>S</w:t>
      </w:r>
      <w:r w:rsidRPr="0071751B">
        <w:rPr>
          <w:shd w:val="clear" w:color="auto" w:fill="FFFFFF"/>
        </w:rPr>
        <w:t xml:space="preserve"> was recently restructured to align it with the case management ecological model and include a broader range of leading indicator measures across the healthcare, compensation system and personal domains. This more comprehensive data became available for the first time in mid</w:t>
      </w:r>
      <w:r w:rsidR="00420211">
        <w:rPr>
          <w:shd w:val="clear" w:color="auto" w:fill="FFFFFF"/>
        </w:rPr>
        <w:noBreakHyphen/>
      </w:r>
      <w:r w:rsidRPr="0071751B">
        <w:rPr>
          <w:shd w:val="clear" w:color="auto" w:fill="FFFFFF"/>
        </w:rPr>
        <w:t xml:space="preserve">2018. </w:t>
      </w:r>
    </w:p>
    <w:p w14:paraId="4BA517E2" w14:textId="71C7B288" w:rsidR="00B71CB7" w:rsidRPr="0071751B" w:rsidRDefault="00B71CB7" w:rsidP="00B71CB7">
      <w:pPr>
        <w:rPr>
          <w:shd w:val="clear" w:color="auto" w:fill="FFFFFF"/>
        </w:rPr>
      </w:pPr>
      <w:r w:rsidRPr="0071751B">
        <w:rPr>
          <w:shd w:val="clear" w:color="auto" w:fill="FFFFFF"/>
        </w:rPr>
        <w:t>One limitation of the NRTW Survey is that it is conducted biennially on a sample of workers (</w:t>
      </w:r>
      <w:r w:rsidRPr="0071751B">
        <w:rPr>
          <w:i/>
          <w:shd w:val="clear" w:color="auto" w:fill="FFFFFF"/>
        </w:rPr>
        <w:t xml:space="preserve">n </w:t>
      </w:r>
      <w:r w:rsidRPr="0071751B">
        <w:rPr>
          <w:shd w:val="clear" w:color="auto" w:fill="FFFFFF"/>
        </w:rPr>
        <w:t xml:space="preserve">= ~5,000 cases out of a total of more than 200,000 accepted claims per annum); </w:t>
      </w:r>
      <w:r w:rsidR="00D82511">
        <w:rPr>
          <w:shd w:val="clear" w:color="auto" w:fill="FFFFFF"/>
        </w:rPr>
        <w:t xml:space="preserve">and due to the nature of the survey sampling some biases may be introduced </w:t>
      </w:r>
      <w:r w:rsidRPr="0071751B">
        <w:rPr>
          <w:shd w:val="clear" w:color="auto" w:fill="FFFFFF"/>
        </w:rPr>
        <w:t xml:space="preserve">that </w:t>
      </w:r>
      <w:r w:rsidR="00D82511">
        <w:rPr>
          <w:shd w:val="clear" w:color="auto" w:fill="FFFFFF"/>
        </w:rPr>
        <w:t xml:space="preserve">possibly </w:t>
      </w:r>
      <w:r w:rsidRPr="0071751B">
        <w:rPr>
          <w:shd w:val="clear" w:color="auto" w:fill="FFFFFF"/>
        </w:rPr>
        <w:t xml:space="preserve">means it does not represent all Australian workers’ compensation claims involving time off work. Advantages of the survey include its use of validated scales assessing relevant </w:t>
      </w:r>
      <w:r w:rsidRPr="00A300E5">
        <w:rPr>
          <w:shd w:val="clear" w:color="auto" w:fill="FFFFFF"/>
        </w:rPr>
        <w:t>return to work</w:t>
      </w:r>
      <w:r w:rsidRPr="0071751B">
        <w:rPr>
          <w:shd w:val="clear" w:color="auto" w:fill="FFFFFF"/>
        </w:rPr>
        <w:t xml:space="preserve"> outcomes, barriers and enablers. Data collected through the survey have been subjected to rigorous analysis and underpin multiple high-quality research studies. </w:t>
      </w:r>
    </w:p>
    <w:p w14:paraId="17921A70" w14:textId="77777777" w:rsidR="00B71CB7" w:rsidRPr="00DC41D8" w:rsidRDefault="00B71CB7" w:rsidP="00B764E6">
      <w:pPr>
        <w:pStyle w:val="Heading1"/>
      </w:pPr>
      <w:r w:rsidRPr="00DC41D8">
        <w:t>Data sources under development</w:t>
      </w:r>
    </w:p>
    <w:p w14:paraId="5B0CEC4A" w14:textId="77777777" w:rsidR="00B71CB7" w:rsidRPr="00E5452A" w:rsidRDefault="00B71CB7" w:rsidP="00B764E6">
      <w:pPr>
        <w:pStyle w:val="Heading3"/>
        <w:rPr>
          <w:shd w:val="clear" w:color="auto" w:fill="FFFFFF"/>
        </w:rPr>
      </w:pPr>
      <w:r w:rsidRPr="00E5452A">
        <w:rPr>
          <w:shd w:val="clear" w:color="auto" w:fill="FFFFFF"/>
        </w:rPr>
        <w:t xml:space="preserve">Multi-jurisdictional claims database </w:t>
      </w:r>
    </w:p>
    <w:p w14:paraId="19D1B62A" w14:textId="77777777" w:rsidR="00B71CB7" w:rsidRPr="00B764E6" w:rsidRDefault="00B71CB7" w:rsidP="00B764E6">
      <w:pPr>
        <w:rPr>
          <w:shd w:val="clear" w:color="auto" w:fill="FFFFFF"/>
        </w:rPr>
      </w:pPr>
      <w:r w:rsidRPr="00B764E6">
        <w:rPr>
          <w:rStyle w:val="IWHGBodycopyChar"/>
          <w:b w:val="0"/>
        </w:rPr>
        <w:t xml:space="preserve">Monash University, through the Australian Research Council (ARC) and Safe Work Australia funded </w:t>
      </w:r>
      <w:hyperlink r:id="rId60" w:history="1">
        <w:proofErr w:type="spellStart"/>
        <w:r w:rsidRPr="00B764E6">
          <w:rPr>
            <w:rStyle w:val="Hyperlink"/>
            <w:szCs w:val="20"/>
            <w:shd w:val="clear" w:color="auto" w:fill="FFFFFF"/>
          </w:rPr>
          <w:t>COMpensation</w:t>
        </w:r>
        <w:proofErr w:type="spellEnd"/>
        <w:r w:rsidRPr="00B764E6">
          <w:rPr>
            <w:rStyle w:val="Hyperlink"/>
            <w:szCs w:val="20"/>
            <w:shd w:val="clear" w:color="auto" w:fill="FFFFFF"/>
          </w:rPr>
          <w:t xml:space="preserve"> Policy and Return to Work Effectiveness (COMPARE)</w:t>
        </w:r>
      </w:hyperlink>
      <w:r w:rsidRPr="00B764E6">
        <w:rPr>
          <w:szCs w:val="20"/>
          <w:shd w:val="clear" w:color="auto" w:fill="FFFFFF"/>
        </w:rPr>
        <w:t xml:space="preserve"> research</w:t>
      </w:r>
      <w:r w:rsidRPr="00B764E6">
        <w:rPr>
          <w:shd w:val="clear" w:color="auto" w:fill="FFFFFF"/>
        </w:rPr>
        <w:t xml:space="preserve"> project, is developing a Multi-Jurisdictional Claims Database that includes detailed information on payments for health services, rehabilitation services and income payments. Provision of healthcare, occupational rehabilitation and income support are the primary levers that workers’ compensation schemes have at their disposal to influence return to work. </w:t>
      </w:r>
    </w:p>
    <w:p w14:paraId="1D463696" w14:textId="77777777" w:rsidR="00B71CB7" w:rsidRPr="0071751B" w:rsidRDefault="00B71CB7" w:rsidP="00B71CB7">
      <w:pPr>
        <w:rPr>
          <w:shd w:val="clear" w:color="auto" w:fill="FFFFFF"/>
        </w:rPr>
      </w:pPr>
      <w:r w:rsidRPr="0071751B">
        <w:rPr>
          <w:shd w:val="clear" w:color="auto" w:fill="FFFFFF"/>
        </w:rPr>
        <w:t xml:space="preserve">Analysis of such data could help to understand, for example, the quality of healthcare being provided to injured workers, which is within the ability of </w:t>
      </w:r>
      <w:r w:rsidR="007F7D55">
        <w:rPr>
          <w:shd w:val="clear" w:color="auto" w:fill="FFFFFF"/>
        </w:rPr>
        <w:t>workers’ compensation authorities</w:t>
      </w:r>
      <w:r w:rsidRPr="0071751B">
        <w:rPr>
          <w:shd w:val="clear" w:color="auto" w:fill="FFFFFF"/>
        </w:rPr>
        <w:t xml:space="preserve"> and insurers to influence. At the time of writing the database includes information from five workers’ compensation jurisdictions (</w:t>
      </w:r>
      <w:r>
        <w:rPr>
          <w:shd w:val="clear" w:color="auto" w:fill="FFFFFF"/>
        </w:rPr>
        <w:t>Victoria, South Australia</w:t>
      </w:r>
      <w:r w:rsidRPr="0071751B">
        <w:rPr>
          <w:shd w:val="clear" w:color="auto" w:fill="FFFFFF"/>
        </w:rPr>
        <w:t>, W</w:t>
      </w:r>
      <w:r>
        <w:rPr>
          <w:shd w:val="clear" w:color="auto" w:fill="FFFFFF"/>
        </w:rPr>
        <w:t xml:space="preserve">estern </w:t>
      </w:r>
      <w:r w:rsidRPr="0071751B">
        <w:rPr>
          <w:shd w:val="clear" w:color="auto" w:fill="FFFFFF"/>
        </w:rPr>
        <w:t>A</w:t>
      </w:r>
      <w:r>
        <w:rPr>
          <w:shd w:val="clear" w:color="auto" w:fill="FFFFFF"/>
        </w:rPr>
        <w:t>ustralia, Queensland</w:t>
      </w:r>
      <w:r w:rsidRPr="0071751B">
        <w:rPr>
          <w:shd w:val="clear" w:color="auto" w:fill="FFFFFF"/>
        </w:rPr>
        <w:t xml:space="preserve">, Comcare) and is undergoing quality assurance prior to use in statistical analysis. </w:t>
      </w:r>
    </w:p>
    <w:p w14:paraId="29A8DD5A" w14:textId="77777777" w:rsidR="00B71CB7" w:rsidRPr="00DC41D8" w:rsidRDefault="00B71CB7" w:rsidP="00B764E6">
      <w:pPr>
        <w:pStyle w:val="Heading1"/>
      </w:pPr>
      <w:r w:rsidRPr="00DC41D8">
        <w:t>Opportunities for future data development</w:t>
      </w:r>
    </w:p>
    <w:p w14:paraId="4E409CC3" w14:textId="77777777" w:rsidR="00B71CB7" w:rsidRPr="00A177B0" w:rsidRDefault="00B71CB7" w:rsidP="00B764E6">
      <w:pPr>
        <w:pStyle w:val="Heading3"/>
        <w:rPr>
          <w:shd w:val="clear" w:color="auto" w:fill="FFFFFF"/>
        </w:rPr>
      </w:pPr>
      <w:r w:rsidRPr="00A177B0">
        <w:rPr>
          <w:shd w:val="clear" w:color="auto" w:fill="FFFFFF"/>
        </w:rPr>
        <w:t>Employer survey</w:t>
      </w:r>
    </w:p>
    <w:p w14:paraId="1FCAC13B" w14:textId="77777777" w:rsidR="00B71CB7" w:rsidRDefault="00B71CB7" w:rsidP="00B71CB7">
      <w:pPr>
        <w:rPr>
          <w:shd w:val="clear" w:color="auto" w:fill="FFFFFF"/>
        </w:rPr>
      </w:pPr>
      <w:proofErr w:type="gramStart"/>
      <w:r w:rsidRPr="0071751B">
        <w:rPr>
          <w:shd w:val="clear" w:color="auto" w:fill="FFFFFF"/>
        </w:rPr>
        <w:t>It is clear that employers</w:t>
      </w:r>
      <w:proofErr w:type="gramEnd"/>
      <w:r w:rsidRPr="0071751B">
        <w:rPr>
          <w:shd w:val="clear" w:color="auto" w:fill="FFFFFF"/>
        </w:rPr>
        <w:t xml:space="preserve"> play a critical role in </w:t>
      </w:r>
      <w:r w:rsidRPr="00A300E5">
        <w:rPr>
          <w:shd w:val="clear" w:color="auto" w:fill="FFFFFF"/>
        </w:rPr>
        <w:t>return to work</w:t>
      </w:r>
      <w:r w:rsidRPr="0071751B">
        <w:rPr>
          <w:shd w:val="clear" w:color="auto" w:fill="FFFFFF"/>
        </w:rPr>
        <w:t xml:space="preserve"> and can have a positive or negative influence on </w:t>
      </w:r>
      <w:r w:rsidRPr="00A300E5">
        <w:rPr>
          <w:shd w:val="clear" w:color="auto" w:fill="FFFFFF"/>
        </w:rPr>
        <w:t>return to work</w:t>
      </w:r>
      <w:r w:rsidRPr="0071751B">
        <w:rPr>
          <w:shd w:val="clear" w:color="auto" w:fill="FFFFFF"/>
        </w:rPr>
        <w:t xml:space="preserve">. The NRTWS includes a range of indicators assessing the workers’ perception of their employer’s actions, but there is not a corresponding view from employers of their own involvement in </w:t>
      </w:r>
      <w:r w:rsidRPr="00A300E5">
        <w:rPr>
          <w:shd w:val="clear" w:color="auto" w:fill="FFFFFF"/>
        </w:rPr>
        <w:t>return to work</w:t>
      </w:r>
      <w:r w:rsidRPr="0071751B">
        <w:rPr>
          <w:shd w:val="clear" w:color="auto" w:fill="FFFFFF"/>
        </w:rPr>
        <w:t xml:space="preserve">. </w:t>
      </w:r>
    </w:p>
    <w:p w14:paraId="4063A67C" w14:textId="77777777" w:rsidR="00B71CB7" w:rsidRDefault="00B71CB7" w:rsidP="00B71CB7">
      <w:pPr>
        <w:rPr>
          <w:shd w:val="clear" w:color="auto" w:fill="FFFFFF"/>
        </w:rPr>
      </w:pPr>
      <w:r w:rsidRPr="0071751B">
        <w:rPr>
          <w:shd w:val="clear" w:color="auto" w:fill="FFFFFF"/>
        </w:rPr>
        <w:t xml:space="preserve">Understanding the activities, policy and practice of the nation’s employers in </w:t>
      </w:r>
      <w:r w:rsidRPr="00A300E5">
        <w:rPr>
          <w:shd w:val="clear" w:color="auto" w:fill="FFFFFF"/>
        </w:rPr>
        <w:t>return to work</w:t>
      </w:r>
      <w:r w:rsidRPr="0071751B">
        <w:rPr>
          <w:shd w:val="clear" w:color="auto" w:fill="FFFFFF"/>
        </w:rPr>
        <w:t xml:space="preserve"> would provide an additional valuable view that could support </w:t>
      </w:r>
      <w:r>
        <w:rPr>
          <w:shd w:val="clear" w:color="auto" w:fill="FFFFFF"/>
        </w:rPr>
        <w:t>work under the Strategy</w:t>
      </w:r>
      <w:r w:rsidRPr="0071751B">
        <w:rPr>
          <w:shd w:val="clear" w:color="auto" w:fill="FFFFFF"/>
        </w:rPr>
        <w:t xml:space="preserve">. An employer survey would supplement the current worker and insurer views collected through the </w:t>
      </w:r>
      <w:r>
        <w:rPr>
          <w:shd w:val="clear" w:color="auto" w:fill="FFFFFF"/>
        </w:rPr>
        <w:t>NRTWS and the NDS respectively.</w:t>
      </w:r>
    </w:p>
    <w:p w14:paraId="49F6C9C6" w14:textId="77777777" w:rsidR="00B71CB7" w:rsidRPr="00A177B0" w:rsidRDefault="00B71CB7" w:rsidP="00B764E6">
      <w:pPr>
        <w:pStyle w:val="Heading3"/>
        <w:rPr>
          <w:shd w:val="clear" w:color="auto" w:fill="FFFFFF"/>
        </w:rPr>
      </w:pPr>
      <w:r w:rsidRPr="00A177B0">
        <w:rPr>
          <w:shd w:val="clear" w:color="auto" w:fill="FFFFFF"/>
        </w:rPr>
        <w:t>Post-claim data collection</w:t>
      </w:r>
    </w:p>
    <w:p w14:paraId="1BA78BE5" w14:textId="77777777" w:rsidR="00B71CB7" w:rsidRPr="0071751B" w:rsidRDefault="00B71CB7" w:rsidP="00B71CB7">
      <w:pPr>
        <w:rPr>
          <w:shd w:val="clear" w:color="auto" w:fill="FFFFFF"/>
        </w:rPr>
      </w:pPr>
      <w:r w:rsidRPr="0071751B">
        <w:rPr>
          <w:shd w:val="clear" w:color="auto" w:fill="FFFFFF"/>
        </w:rPr>
        <w:t xml:space="preserve">When injured workers exit a compensation scheme, </w:t>
      </w:r>
      <w:r>
        <w:rPr>
          <w:shd w:val="clear" w:color="auto" w:fill="FFFFFF"/>
        </w:rPr>
        <w:t>visibility of their progress ceases</w:t>
      </w:r>
      <w:r w:rsidRPr="0071751B">
        <w:rPr>
          <w:shd w:val="clear" w:color="auto" w:fill="FFFFFF"/>
        </w:rPr>
        <w:t xml:space="preserve">. This makes it very difficult to determine the ultimate return to work outcome or the long-term impacts of work injury on the worker and the employer. Following up with injured workers months or years after their workers’ compensation claim has ceased may provide additional valuable information regarding </w:t>
      </w:r>
      <w:r w:rsidRPr="00A300E5">
        <w:rPr>
          <w:shd w:val="clear" w:color="auto" w:fill="FFFFFF"/>
        </w:rPr>
        <w:t>return to work</w:t>
      </w:r>
      <w:r w:rsidRPr="0071751B">
        <w:rPr>
          <w:shd w:val="clear" w:color="auto" w:fill="FFFFFF"/>
        </w:rPr>
        <w:t xml:space="preserve"> durability, job/employer stability, physical and mental health, the quality of work the worker has returned to, productivity, and transition into retirement or onto other benefit systems.</w:t>
      </w:r>
    </w:p>
    <w:p w14:paraId="05AE974D" w14:textId="77777777" w:rsidR="00B764E6" w:rsidRPr="00A177B0" w:rsidRDefault="00B764E6" w:rsidP="00B764E6">
      <w:pPr>
        <w:pStyle w:val="Heading3"/>
        <w:rPr>
          <w:shd w:val="clear" w:color="auto" w:fill="FFFFFF"/>
        </w:rPr>
      </w:pPr>
      <w:r>
        <w:rPr>
          <w:shd w:val="clear" w:color="auto" w:fill="FFFFFF"/>
        </w:rPr>
        <w:t>Qualitative studies</w:t>
      </w:r>
    </w:p>
    <w:p w14:paraId="15EF26EA" w14:textId="77777777" w:rsidR="00B71CB7" w:rsidRPr="0071751B" w:rsidRDefault="00B71CB7" w:rsidP="00B71CB7">
      <w:r w:rsidRPr="00B764E6">
        <w:t>For some topics, it may be valuable to collect qualitative information from participants in the return to work process. Qualitative studies can provide a detailed understanding of why and how specific effects are occurring. These studies can provide powerful insights into the experiences of people involved in the return to work process, and the impacts of policy and practices on individuals and groups.</w:t>
      </w:r>
      <w:r w:rsidRPr="0071751B">
        <w:t xml:space="preserve"> </w:t>
      </w:r>
    </w:p>
    <w:p w14:paraId="12B48C7E" w14:textId="77777777" w:rsidR="00B71CB7" w:rsidRPr="00C76DB0" w:rsidRDefault="00B71CB7" w:rsidP="00B764E6">
      <w:pPr>
        <w:pStyle w:val="Heading3"/>
        <w:rPr>
          <w:shd w:val="clear" w:color="auto" w:fill="FFFFFF"/>
        </w:rPr>
      </w:pPr>
      <w:r w:rsidRPr="00C76DB0">
        <w:rPr>
          <w:shd w:val="clear" w:color="auto" w:fill="FFFFFF"/>
        </w:rPr>
        <w:t>Longitu</w:t>
      </w:r>
      <w:r>
        <w:rPr>
          <w:shd w:val="clear" w:color="auto" w:fill="FFFFFF"/>
        </w:rPr>
        <w:t>di</w:t>
      </w:r>
      <w:r w:rsidRPr="00C76DB0">
        <w:rPr>
          <w:shd w:val="clear" w:color="auto" w:fill="FFFFFF"/>
        </w:rPr>
        <w:t>nal studies</w:t>
      </w:r>
    </w:p>
    <w:p w14:paraId="337E7B11" w14:textId="77777777" w:rsidR="00B71CB7" w:rsidRDefault="00B71CB7" w:rsidP="00B764E6">
      <w:pPr>
        <w:rPr>
          <w:shd w:val="clear" w:color="auto" w:fill="FFFFFF"/>
        </w:rPr>
      </w:pPr>
      <w:r w:rsidRPr="0071751B">
        <w:rPr>
          <w:shd w:val="clear" w:color="auto" w:fill="FFFFFF"/>
        </w:rPr>
        <w:t xml:space="preserve">Quantitative studies can provide information across large samples and enable statistical testing of links between parts of the </w:t>
      </w:r>
      <w:r w:rsidRPr="00A300E5">
        <w:rPr>
          <w:shd w:val="clear" w:color="auto" w:fill="FFFFFF"/>
        </w:rPr>
        <w:t>return to work</w:t>
      </w:r>
      <w:r w:rsidRPr="0071751B">
        <w:rPr>
          <w:shd w:val="clear" w:color="auto" w:fill="FFFFFF"/>
        </w:rPr>
        <w:t xml:space="preserve"> and workers’ compensation claims processes. Longitudinal studies provide the ability to examine temporal relationships between variables, and thus provide more cer</w:t>
      </w:r>
      <w:r>
        <w:rPr>
          <w:shd w:val="clear" w:color="auto" w:fill="FFFFFF"/>
        </w:rPr>
        <w:t xml:space="preserve">tainty of causal relationships that may have a positive or negative influence </w:t>
      </w:r>
      <w:r w:rsidR="007F7D55">
        <w:rPr>
          <w:shd w:val="clear" w:color="auto" w:fill="FFFFFF"/>
        </w:rPr>
        <w:t xml:space="preserve">on </w:t>
      </w:r>
      <w:r>
        <w:rPr>
          <w:shd w:val="clear" w:color="auto" w:fill="FFFFFF"/>
        </w:rPr>
        <w:t>return to work</w:t>
      </w:r>
      <w:r w:rsidR="007F7D55">
        <w:rPr>
          <w:shd w:val="clear" w:color="auto" w:fill="FFFFFF"/>
        </w:rPr>
        <w:t xml:space="preserve"> outcomes</w:t>
      </w:r>
      <w:r>
        <w:rPr>
          <w:shd w:val="clear" w:color="auto" w:fill="FFFFFF"/>
        </w:rPr>
        <w:t>.</w:t>
      </w:r>
    </w:p>
    <w:p w14:paraId="164404FC" w14:textId="77777777" w:rsidR="00B71CB7" w:rsidRPr="00C76DB0" w:rsidRDefault="00B71CB7" w:rsidP="00B764E6">
      <w:pPr>
        <w:pStyle w:val="Heading3"/>
        <w:rPr>
          <w:shd w:val="clear" w:color="auto" w:fill="FFFFFF"/>
        </w:rPr>
      </w:pPr>
      <w:r w:rsidRPr="00C76DB0">
        <w:rPr>
          <w:shd w:val="clear" w:color="auto" w:fill="FFFFFF"/>
        </w:rPr>
        <w:t>Linked data</w:t>
      </w:r>
    </w:p>
    <w:p w14:paraId="4A7FE7CD" w14:textId="77777777" w:rsidR="00B71CB7" w:rsidRPr="0071751B" w:rsidRDefault="00B71CB7" w:rsidP="00B764E6">
      <w:pPr>
        <w:rPr>
          <w:shd w:val="clear" w:color="auto" w:fill="FFFFFF"/>
        </w:rPr>
      </w:pPr>
      <w:r>
        <w:rPr>
          <w:shd w:val="clear" w:color="auto" w:fill="FFFFFF"/>
        </w:rPr>
        <w:t>P</w:t>
      </w:r>
      <w:r w:rsidRPr="0071751B">
        <w:rPr>
          <w:shd w:val="clear" w:color="auto" w:fill="FFFFFF"/>
        </w:rPr>
        <w:t>otential to link existing data sources with other data sources</w:t>
      </w:r>
      <w:r>
        <w:rPr>
          <w:shd w:val="clear" w:color="auto" w:fill="FFFFFF"/>
        </w:rPr>
        <w:t xml:space="preserve"> could be explored</w:t>
      </w:r>
      <w:r w:rsidRPr="0071751B">
        <w:rPr>
          <w:shd w:val="clear" w:color="auto" w:fill="FFFFFF"/>
        </w:rPr>
        <w:t xml:space="preserve">. For example, linking workers’ compensation claims data with Medicare or hospital data may provide a more detailed understanding of the delivery of healthcare to injured workers than is available through analysis of claims data alone. It may also be possible to address the current gap in longitudinal data by linking information from the </w:t>
      </w:r>
      <w:r>
        <w:rPr>
          <w:shd w:val="clear" w:color="auto" w:fill="FFFFFF"/>
        </w:rPr>
        <w:t>N</w:t>
      </w:r>
      <w:r w:rsidRPr="0071751B">
        <w:rPr>
          <w:shd w:val="clear" w:color="auto" w:fill="FFFFFF"/>
        </w:rPr>
        <w:t xml:space="preserve">RTWS data with jurisdictional claims data, or to collect self-reported follow up data on workers who complete the </w:t>
      </w:r>
      <w:r>
        <w:rPr>
          <w:shd w:val="clear" w:color="auto" w:fill="FFFFFF"/>
        </w:rPr>
        <w:t>N</w:t>
      </w:r>
      <w:r w:rsidRPr="0071751B">
        <w:rPr>
          <w:shd w:val="clear" w:color="auto" w:fill="FFFFFF"/>
        </w:rPr>
        <w:t xml:space="preserve">RTWS. </w:t>
      </w:r>
    </w:p>
    <w:p w14:paraId="27EC7C6A" w14:textId="77777777" w:rsidR="00D06470" w:rsidRDefault="00D06470" w:rsidP="00B71CB7"/>
    <w:sectPr w:rsidR="00D06470" w:rsidSect="00685A69">
      <w:headerReference w:type="default" r:id="rId61"/>
      <w:footerReference w:type="default" r:id="rId62"/>
      <w:headerReference w:type="first" r:id="rId63"/>
      <w:pgSz w:w="11906" w:h="16838"/>
      <w:pgMar w:top="2127" w:right="1440" w:bottom="1134" w:left="1440" w:header="794"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E0D4F" w14:textId="77777777" w:rsidR="00036695" w:rsidRDefault="00036695" w:rsidP="005C293C">
      <w:pPr>
        <w:spacing w:after="0" w:line="240" w:lineRule="auto"/>
      </w:pPr>
      <w:r>
        <w:separator/>
      </w:r>
    </w:p>
  </w:endnote>
  <w:endnote w:type="continuationSeparator" w:id="0">
    <w:p w14:paraId="01C4E511" w14:textId="77777777" w:rsidR="00036695" w:rsidRDefault="00036695" w:rsidP="005C2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6827" w:type="dxa"/>
      <w:tblInd w:w="-1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8" w:type="dxa"/>
        <w:right w:w="1418" w:type="dxa"/>
      </w:tblCellMar>
      <w:tblLook w:val="04A0" w:firstRow="1" w:lastRow="0" w:firstColumn="1" w:lastColumn="0" w:noHBand="0" w:noVBand="1"/>
    </w:tblPr>
    <w:tblGrid>
      <w:gridCol w:w="8246"/>
      <w:gridCol w:w="8581"/>
    </w:tblGrid>
    <w:tr w:rsidR="00C010E0" w:rsidRPr="002A7856" w14:paraId="265D614C" w14:textId="77777777" w:rsidTr="00C8684F">
      <w:trPr>
        <w:trHeight w:val="401"/>
      </w:trPr>
      <w:tc>
        <w:tcPr>
          <w:tcW w:w="8246" w:type="dxa"/>
          <w:shd w:val="clear" w:color="auto" w:fill="D9D9D9" w:themeFill="background1" w:themeFillShade="D9"/>
          <w:vAlign w:val="center"/>
        </w:tcPr>
        <w:p w14:paraId="1678201C" w14:textId="77777777" w:rsidR="00C010E0" w:rsidRPr="002A7856" w:rsidRDefault="00C010E0" w:rsidP="009D4182">
          <w:pPr>
            <w:ind w:right="-1701"/>
            <w:rPr>
              <w:b/>
            </w:rPr>
          </w:pPr>
          <w:r>
            <w:rPr>
              <w:b/>
            </w:rPr>
            <w:t>Methodology for the Measurement Framework</w:t>
          </w:r>
        </w:p>
      </w:tc>
      <w:tc>
        <w:tcPr>
          <w:tcW w:w="8581" w:type="dxa"/>
          <w:shd w:val="clear" w:color="auto" w:fill="D9D9D9" w:themeFill="background1" w:themeFillShade="D9"/>
          <w:vAlign w:val="center"/>
        </w:tcPr>
        <w:sdt>
          <w:sdtPr>
            <w:rPr>
              <w:b/>
            </w:rPr>
            <w:id w:val="2026430767"/>
            <w:docPartObj>
              <w:docPartGallery w:val="Page Numbers (Bottom of Page)"/>
              <w:docPartUnique/>
            </w:docPartObj>
          </w:sdtPr>
          <w:sdtEndPr/>
          <w:sdtContent>
            <w:sdt>
              <w:sdtPr>
                <w:rPr>
                  <w:b/>
                </w:rPr>
                <w:id w:val="1158041843"/>
                <w:docPartObj>
                  <w:docPartGallery w:val="Page Numbers (Top of Page)"/>
                  <w:docPartUnique/>
                </w:docPartObj>
              </w:sdtPr>
              <w:sdtEndPr/>
              <w:sdtContent>
                <w:p w14:paraId="197486A0" w14:textId="77777777" w:rsidR="00C010E0" w:rsidRPr="002A7856" w:rsidRDefault="00C010E0" w:rsidP="009D4182">
                  <w:pPr>
                    <w:ind w:right="-1702"/>
                    <w:rPr>
                      <w:b/>
                    </w:rPr>
                  </w:pPr>
                  <w:r w:rsidRPr="002A7856">
                    <w:rPr>
                      <w:b/>
                    </w:rPr>
                    <w:t xml:space="preserve">Page </w:t>
                  </w:r>
                  <w:r w:rsidRPr="002A7856">
                    <w:rPr>
                      <w:b/>
                      <w:bCs/>
                      <w:sz w:val="24"/>
                      <w:szCs w:val="24"/>
                    </w:rPr>
                    <w:fldChar w:fldCharType="begin"/>
                  </w:r>
                  <w:r w:rsidRPr="002A7856">
                    <w:rPr>
                      <w:b/>
                      <w:bCs/>
                    </w:rPr>
                    <w:instrText xml:space="preserve"> PAGE </w:instrText>
                  </w:r>
                  <w:r w:rsidRPr="002A7856">
                    <w:rPr>
                      <w:b/>
                      <w:bCs/>
                      <w:sz w:val="24"/>
                      <w:szCs w:val="24"/>
                    </w:rPr>
                    <w:fldChar w:fldCharType="separate"/>
                  </w:r>
                  <w:r>
                    <w:rPr>
                      <w:b/>
                      <w:bCs/>
                      <w:noProof/>
                    </w:rPr>
                    <w:t>5</w:t>
                  </w:r>
                  <w:r w:rsidRPr="002A7856">
                    <w:rPr>
                      <w:b/>
                      <w:bCs/>
                      <w:sz w:val="24"/>
                      <w:szCs w:val="24"/>
                    </w:rPr>
                    <w:fldChar w:fldCharType="end"/>
                  </w:r>
                  <w:r w:rsidRPr="002A7856">
                    <w:rPr>
                      <w:b/>
                    </w:rPr>
                    <w:t xml:space="preserve"> of </w:t>
                  </w:r>
                  <w:r w:rsidRPr="002A7856">
                    <w:rPr>
                      <w:b/>
                      <w:bCs/>
                      <w:sz w:val="24"/>
                      <w:szCs w:val="24"/>
                    </w:rPr>
                    <w:fldChar w:fldCharType="begin"/>
                  </w:r>
                  <w:r w:rsidRPr="002A7856">
                    <w:rPr>
                      <w:b/>
                      <w:bCs/>
                    </w:rPr>
                    <w:instrText xml:space="preserve"> NUMPAGES  </w:instrText>
                  </w:r>
                  <w:r w:rsidRPr="002A7856">
                    <w:rPr>
                      <w:b/>
                      <w:bCs/>
                      <w:sz w:val="24"/>
                      <w:szCs w:val="24"/>
                    </w:rPr>
                    <w:fldChar w:fldCharType="separate"/>
                  </w:r>
                  <w:r>
                    <w:rPr>
                      <w:b/>
                      <w:bCs/>
                      <w:noProof/>
                    </w:rPr>
                    <w:t>13</w:t>
                  </w:r>
                  <w:r w:rsidRPr="002A7856">
                    <w:rPr>
                      <w:b/>
                      <w:bCs/>
                      <w:sz w:val="24"/>
                      <w:szCs w:val="24"/>
                    </w:rPr>
                    <w:fldChar w:fldCharType="end"/>
                  </w:r>
                </w:p>
              </w:sdtContent>
            </w:sdt>
          </w:sdtContent>
        </w:sdt>
      </w:tc>
    </w:tr>
  </w:tbl>
  <w:p w14:paraId="676A6AC9" w14:textId="77777777" w:rsidR="00C010E0" w:rsidRDefault="00C010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6827" w:type="dxa"/>
      <w:tblInd w:w="-1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8" w:type="dxa"/>
        <w:right w:w="1418" w:type="dxa"/>
      </w:tblCellMar>
      <w:tblLook w:val="04A0" w:firstRow="1" w:lastRow="0" w:firstColumn="1" w:lastColumn="0" w:noHBand="0" w:noVBand="1"/>
    </w:tblPr>
    <w:tblGrid>
      <w:gridCol w:w="8246"/>
      <w:gridCol w:w="8581"/>
    </w:tblGrid>
    <w:tr w:rsidR="002D5560" w:rsidRPr="002A7856" w14:paraId="0E848D33" w14:textId="77777777" w:rsidTr="00C8684F">
      <w:trPr>
        <w:trHeight w:val="401"/>
      </w:trPr>
      <w:tc>
        <w:tcPr>
          <w:tcW w:w="8246" w:type="dxa"/>
          <w:shd w:val="clear" w:color="auto" w:fill="D9D9D9" w:themeFill="background1" w:themeFillShade="D9"/>
          <w:vAlign w:val="center"/>
        </w:tcPr>
        <w:p w14:paraId="4C16B777" w14:textId="77777777" w:rsidR="002D5560" w:rsidRPr="00025331" w:rsidRDefault="002D5560" w:rsidP="009D4182">
          <w:pPr>
            <w:ind w:right="-1701"/>
            <w:rPr>
              <w:b/>
              <w:szCs w:val="20"/>
            </w:rPr>
          </w:pPr>
          <w:r w:rsidRPr="00025331">
            <w:rPr>
              <w:b/>
              <w:szCs w:val="20"/>
            </w:rPr>
            <w:t>Methodology for the Measurement Framework</w:t>
          </w:r>
        </w:p>
      </w:tc>
      <w:tc>
        <w:tcPr>
          <w:tcW w:w="8581" w:type="dxa"/>
          <w:shd w:val="clear" w:color="auto" w:fill="D9D9D9" w:themeFill="background1" w:themeFillShade="D9"/>
          <w:vAlign w:val="center"/>
        </w:tcPr>
        <w:sdt>
          <w:sdtPr>
            <w:rPr>
              <w:b/>
              <w:szCs w:val="20"/>
            </w:rPr>
            <w:id w:val="-622771794"/>
            <w:docPartObj>
              <w:docPartGallery w:val="Page Numbers (Bottom of Page)"/>
              <w:docPartUnique/>
            </w:docPartObj>
          </w:sdtPr>
          <w:sdtEndPr/>
          <w:sdtContent>
            <w:sdt>
              <w:sdtPr>
                <w:rPr>
                  <w:b/>
                  <w:szCs w:val="20"/>
                </w:rPr>
                <w:id w:val="266127786"/>
                <w:docPartObj>
                  <w:docPartGallery w:val="Page Numbers (Top of Page)"/>
                  <w:docPartUnique/>
                </w:docPartObj>
              </w:sdtPr>
              <w:sdtEndPr/>
              <w:sdtContent>
                <w:p w14:paraId="1E892607" w14:textId="3DF80E04" w:rsidR="002D5560" w:rsidRPr="00025331" w:rsidRDefault="002D5560" w:rsidP="00CE78E4">
                  <w:pPr>
                    <w:ind w:left="-566" w:right="-1702"/>
                    <w:rPr>
                      <w:b/>
                      <w:szCs w:val="20"/>
                    </w:rPr>
                  </w:pPr>
                  <w:r w:rsidRPr="00025331">
                    <w:rPr>
                      <w:b/>
                      <w:szCs w:val="20"/>
                    </w:rPr>
                    <w:t xml:space="preserve">Page </w:t>
                  </w:r>
                  <w:r w:rsidRPr="00025331">
                    <w:rPr>
                      <w:b/>
                      <w:bCs/>
                      <w:szCs w:val="20"/>
                    </w:rPr>
                    <w:fldChar w:fldCharType="begin"/>
                  </w:r>
                  <w:r w:rsidRPr="00025331">
                    <w:rPr>
                      <w:b/>
                      <w:bCs/>
                      <w:szCs w:val="20"/>
                    </w:rPr>
                    <w:instrText xml:space="preserve"> PAGE </w:instrText>
                  </w:r>
                  <w:r w:rsidRPr="00025331">
                    <w:rPr>
                      <w:b/>
                      <w:bCs/>
                      <w:szCs w:val="20"/>
                    </w:rPr>
                    <w:fldChar w:fldCharType="separate"/>
                  </w:r>
                  <w:r w:rsidRPr="00025331">
                    <w:rPr>
                      <w:b/>
                      <w:bCs/>
                      <w:noProof/>
                      <w:szCs w:val="20"/>
                    </w:rPr>
                    <w:t>4</w:t>
                  </w:r>
                  <w:r w:rsidRPr="00025331">
                    <w:rPr>
                      <w:b/>
                      <w:bCs/>
                      <w:szCs w:val="20"/>
                    </w:rPr>
                    <w:fldChar w:fldCharType="end"/>
                  </w:r>
                  <w:r w:rsidRPr="00025331">
                    <w:rPr>
                      <w:b/>
                      <w:szCs w:val="20"/>
                    </w:rPr>
                    <w:t xml:space="preserve"> of </w:t>
                  </w:r>
                  <w:r w:rsidR="00025331" w:rsidRPr="00025331">
                    <w:rPr>
                      <w:b/>
                      <w:bCs/>
                      <w:szCs w:val="20"/>
                    </w:rPr>
                    <w:t>1</w:t>
                  </w:r>
                  <w:r w:rsidR="00C5500F">
                    <w:rPr>
                      <w:b/>
                      <w:bCs/>
                      <w:szCs w:val="20"/>
                    </w:rPr>
                    <w:t>0</w:t>
                  </w:r>
                </w:p>
              </w:sdtContent>
            </w:sdt>
          </w:sdtContent>
        </w:sdt>
      </w:tc>
    </w:tr>
  </w:tbl>
  <w:p w14:paraId="0E2988EA" w14:textId="77777777" w:rsidR="002D5560" w:rsidRDefault="002D55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930" w:type="dxa"/>
      <w:tblInd w:w="-1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8" w:type="dxa"/>
        <w:right w:w="1418" w:type="dxa"/>
      </w:tblCellMar>
      <w:tblLook w:val="04A0" w:firstRow="1" w:lastRow="0" w:firstColumn="1" w:lastColumn="0" w:noHBand="0" w:noVBand="1"/>
    </w:tblPr>
    <w:tblGrid>
      <w:gridCol w:w="8108"/>
      <w:gridCol w:w="3822"/>
    </w:tblGrid>
    <w:tr w:rsidR="00C010E0" w:rsidRPr="002A7856" w14:paraId="0876F0AA" w14:textId="77777777" w:rsidTr="00A14123">
      <w:trPr>
        <w:trHeight w:val="340"/>
      </w:trPr>
      <w:tc>
        <w:tcPr>
          <w:tcW w:w="8108" w:type="dxa"/>
          <w:shd w:val="clear" w:color="auto" w:fill="D9D9D9" w:themeFill="background1" w:themeFillShade="D9"/>
          <w:vAlign w:val="center"/>
        </w:tcPr>
        <w:p w14:paraId="56603BA9" w14:textId="77777777" w:rsidR="00C010E0" w:rsidRPr="002A7856" w:rsidRDefault="00C010E0" w:rsidP="009D4182">
          <w:pPr>
            <w:ind w:right="-1701"/>
            <w:rPr>
              <w:b/>
            </w:rPr>
          </w:pPr>
          <w:r>
            <w:rPr>
              <w:b/>
            </w:rPr>
            <w:t>Methodology for the Measurement Framework</w:t>
          </w:r>
        </w:p>
      </w:tc>
      <w:tc>
        <w:tcPr>
          <w:tcW w:w="3822" w:type="dxa"/>
          <w:shd w:val="clear" w:color="auto" w:fill="D9D9D9" w:themeFill="background1" w:themeFillShade="D9"/>
          <w:vAlign w:val="center"/>
        </w:tcPr>
        <w:sdt>
          <w:sdtPr>
            <w:rPr>
              <w:b/>
            </w:rPr>
            <w:id w:val="590365598"/>
            <w:docPartObj>
              <w:docPartGallery w:val="Page Numbers (Bottom of Page)"/>
              <w:docPartUnique/>
            </w:docPartObj>
          </w:sdtPr>
          <w:sdtEndPr/>
          <w:sdtContent>
            <w:sdt>
              <w:sdtPr>
                <w:rPr>
                  <w:b/>
                </w:rPr>
                <w:id w:val="1342899061"/>
                <w:docPartObj>
                  <w:docPartGallery w:val="Page Numbers (Top of Page)"/>
                  <w:docPartUnique/>
                </w:docPartObj>
              </w:sdtPr>
              <w:sdtEndPr/>
              <w:sdtContent>
                <w:p w14:paraId="44DDB509" w14:textId="77777777" w:rsidR="00C010E0" w:rsidRPr="002A7856" w:rsidRDefault="00C010E0" w:rsidP="009D4182">
                  <w:pPr>
                    <w:ind w:right="-1702"/>
                    <w:rPr>
                      <w:b/>
                    </w:rPr>
                  </w:pPr>
                  <w:r w:rsidRPr="002A7856">
                    <w:rPr>
                      <w:b/>
                    </w:rPr>
                    <w:t xml:space="preserve">Page </w:t>
                  </w:r>
                  <w:r w:rsidRPr="002A7856">
                    <w:rPr>
                      <w:b/>
                      <w:bCs/>
                      <w:sz w:val="24"/>
                      <w:szCs w:val="24"/>
                    </w:rPr>
                    <w:fldChar w:fldCharType="begin"/>
                  </w:r>
                  <w:r w:rsidRPr="002A7856">
                    <w:rPr>
                      <w:b/>
                      <w:bCs/>
                    </w:rPr>
                    <w:instrText xml:space="preserve"> PAGE </w:instrText>
                  </w:r>
                  <w:r w:rsidRPr="002A7856">
                    <w:rPr>
                      <w:b/>
                      <w:bCs/>
                      <w:sz w:val="24"/>
                      <w:szCs w:val="24"/>
                    </w:rPr>
                    <w:fldChar w:fldCharType="separate"/>
                  </w:r>
                  <w:r>
                    <w:rPr>
                      <w:b/>
                      <w:bCs/>
                      <w:noProof/>
                    </w:rPr>
                    <w:t>2</w:t>
                  </w:r>
                  <w:r w:rsidRPr="002A7856">
                    <w:rPr>
                      <w:b/>
                      <w:bCs/>
                      <w:sz w:val="24"/>
                      <w:szCs w:val="24"/>
                    </w:rPr>
                    <w:fldChar w:fldCharType="end"/>
                  </w:r>
                  <w:r w:rsidRPr="002A7856">
                    <w:rPr>
                      <w:b/>
                    </w:rPr>
                    <w:t xml:space="preserve"> of </w:t>
                  </w:r>
                  <w:r w:rsidRPr="002A7856">
                    <w:rPr>
                      <w:b/>
                      <w:bCs/>
                      <w:sz w:val="24"/>
                      <w:szCs w:val="24"/>
                    </w:rPr>
                    <w:fldChar w:fldCharType="begin"/>
                  </w:r>
                  <w:r w:rsidRPr="002A7856">
                    <w:rPr>
                      <w:b/>
                      <w:bCs/>
                    </w:rPr>
                    <w:instrText xml:space="preserve"> NUMPAGES  </w:instrText>
                  </w:r>
                  <w:r w:rsidRPr="002A7856">
                    <w:rPr>
                      <w:b/>
                      <w:bCs/>
                      <w:sz w:val="24"/>
                      <w:szCs w:val="24"/>
                    </w:rPr>
                    <w:fldChar w:fldCharType="separate"/>
                  </w:r>
                  <w:r>
                    <w:rPr>
                      <w:b/>
                      <w:bCs/>
                      <w:noProof/>
                    </w:rPr>
                    <w:t>13</w:t>
                  </w:r>
                  <w:r w:rsidRPr="002A7856">
                    <w:rPr>
                      <w:b/>
                      <w:bCs/>
                      <w:sz w:val="24"/>
                      <w:szCs w:val="24"/>
                    </w:rPr>
                    <w:fldChar w:fldCharType="end"/>
                  </w:r>
                </w:p>
              </w:sdtContent>
            </w:sdt>
          </w:sdtContent>
        </w:sdt>
      </w:tc>
    </w:tr>
  </w:tbl>
  <w:p w14:paraId="55FB6DCB" w14:textId="77777777" w:rsidR="00C010E0" w:rsidRDefault="00C010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6827" w:type="dxa"/>
      <w:tblInd w:w="-1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8" w:type="dxa"/>
        <w:right w:w="1418" w:type="dxa"/>
      </w:tblCellMar>
      <w:tblLook w:val="04A0" w:firstRow="1" w:lastRow="0" w:firstColumn="1" w:lastColumn="0" w:noHBand="0" w:noVBand="1"/>
    </w:tblPr>
    <w:tblGrid>
      <w:gridCol w:w="8246"/>
      <w:gridCol w:w="8581"/>
    </w:tblGrid>
    <w:tr w:rsidR="00C010E0" w:rsidRPr="002A7856" w14:paraId="4E35C53D" w14:textId="77777777" w:rsidTr="00C8684F">
      <w:trPr>
        <w:trHeight w:val="401"/>
      </w:trPr>
      <w:tc>
        <w:tcPr>
          <w:tcW w:w="8246" w:type="dxa"/>
          <w:shd w:val="clear" w:color="auto" w:fill="D9D9D9" w:themeFill="background1" w:themeFillShade="D9"/>
          <w:vAlign w:val="center"/>
        </w:tcPr>
        <w:p w14:paraId="13687D3C" w14:textId="77777777" w:rsidR="00C010E0" w:rsidRPr="00025331" w:rsidRDefault="00C010E0" w:rsidP="009D4182">
          <w:pPr>
            <w:ind w:right="-1701"/>
            <w:rPr>
              <w:b/>
              <w:szCs w:val="20"/>
            </w:rPr>
          </w:pPr>
          <w:r w:rsidRPr="00025331">
            <w:rPr>
              <w:b/>
              <w:szCs w:val="20"/>
            </w:rPr>
            <w:t>Methodology for the Measurement Framework</w:t>
          </w:r>
        </w:p>
      </w:tc>
      <w:tc>
        <w:tcPr>
          <w:tcW w:w="8581" w:type="dxa"/>
          <w:shd w:val="clear" w:color="auto" w:fill="D9D9D9" w:themeFill="background1" w:themeFillShade="D9"/>
          <w:vAlign w:val="center"/>
        </w:tcPr>
        <w:sdt>
          <w:sdtPr>
            <w:rPr>
              <w:b/>
              <w:szCs w:val="20"/>
            </w:rPr>
            <w:id w:val="-1226453598"/>
            <w:docPartObj>
              <w:docPartGallery w:val="Page Numbers (Bottom of Page)"/>
              <w:docPartUnique/>
            </w:docPartObj>
          </w:sdtPr>
          <w:sdtEndPr/>
          <w:sdtContent>
            <w:sdt>
              <w:sdtPr>
                <w:rPr>
                  <w:b/>
                  <w:szCs w:val="20"/>
                </w:rPr>
                <w:id w:val="446591287"/>
                <w:docPartObj>
                  <w:docPartGallery w:val="Page Numbers (Top of Page)"/>
                  <w:docPartUnique/>
                </w:docPartObj>
              </w:sdtPr>
              <w:sdtEndPr/>
              <w:sdtContent>
                <w:p w14:paraId="2A9917E0" w14:textId="3F23A415" w:rsidR="00C010E0" w:rsidRPr="00025331" w:rsidRDefault="00C010E0" w:rsidP="00CE78E4">
                  <w:pPr>
                    <w:ind w:left="4537" w:right="-1702"/>
                    <w:rPr>
                      <w:b/>
                      <w:szCs w:val="20"/>
                    </w:rPr>
                  </w:pPr>
                  <w:r w:rsidRPr="00025331">
                    <w:rPr>
                      <w:b/>
                      <w:szCs w:val="20"/>
                    </w:rPr>
                    <w:t xml:space="preserve">Page </w:t>
                  </w:r>
                  <w:r w:rsidRPr="00025331">
                    <w:rPr>
                      <w:b/>
                      <w:bCs/>
                      <w:szCs w:val="20"/>
                    </w:rPr>
                    <w:fldChar w:fldCharType="begin"/>
                  </w:r>
                  <w:r w:rsidRPr="00025331">
                    <w:rPr>
                      <w:b/>
                      <w:bCs/>
                      <w:szCs w:val="20"/>
                    </w:rPr>
                    <w:instrText xml:space="preserve"> PAGE </w:instrText>
                  </w:r>
                  <w:r w:rsidRPr="00025331">
                    <w:rPr>
                      <w:b/>
                      <w:bCs/>
                      <w:szCs w:val="20"/>
                    </w:rPr>
                    <w:fldChar w:fldCharType="separate"/>
                  </w:r>
                  <w:r w:rsidRPr="00025331">
                    <w:rPr>
                      <w:b/>
                      <w:bCs/>
                      <w:noProof/>
                      <w:szCs w:val="20"/>
                    </w:rPr>
                    <w:t>6</w:t>
                  </w:r>
                  <w:r w:rsidRPr="00025331">
                    <w:rPr>
                      <w:b/>
                      <w:bCs/>
                      <w:szCs w:val="20"/>
                    </w:rPr>
                    <w:fldChar w:fldCharType="end"/>
                  </w:r>
                  <w:r w:rsidRPr="00025331">
                    <w:rPr>
                      <w:b/>
                      <w:szCs w:val="20"/>
                    </w:rPr>
                    <w:t xml:space="preserve"> of </w:t>
                  </w:r>
                  <w:r w:rsidR="00025331" w:rsidRPr="00025331">
                    <w:rPr>
                      <w:b/>
                      <w:bCs/>
                      <w:szCs w:val="20"/>
                    </w:rPr>
                    <w:t>1</w:t>
                  </w:r>
                  <w:r w:rsidR="00C5500F">
                    <w:rPr>
                      <w:b/>
                      <w:bCs/>
                      <w:szCs w:val="20"/>
                    </w:rPr>
                    <w:t>0</w:t>
                  </w:r>
                </w:p>
              </w:sdtContent>
            </w:sdt>
          </w:sdtContent>
        </w:sdt>
      </w:tc>
    </w:tr>
  </w:tbl>
  <w:p w14:paraId="7FDC9F54" w14:textId="77777777" w:rsidR="00C010E0" w:rsidRDefault="00C010E0" w:rsidP="00540C0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6827" w:type="dxa"/>
      <w:tblInd w:w="-1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8" w:type="dxa"/>
        <w:right w:w="1418" w:type="dxa"/>
      </w:tblCellMar>
      <w:tblLook w:val="04A0" w:firstRow="1" w:lastRow="0" w:firstColumn="1" w:lastColumn="0" w:noHBand="0" w:noVBand="1"/>
    </w:tblPr>
    <w:tblGrid>
      <w:gridCol w:w="8246"/>
      <w:gridCol w:w="8581"/>
    </w:tblGrid>
    <w:tr w:rsidR="00C010E0" w:rsidRPr="002A7856" w14:paraId="7738A0EA" w14:textId="77777777" w:rsidTr="00C8684F">
      <w:trPr>
        <w:trHeight w:val="401"/>
      </w:trPr>
      <w:tc>
        <w:tcPr>
          <w:tcW w:w="8246" w:type="dxa"/>
          <w:shd w:val="clear" w:color="auto" w:fill="D9D9D9" w:themeFill="background1" w:themeFillShade="D9"/>
          <w:vAlign w:val="center"/>
        </w:tcPr>
        <w:p w14:paraId="45E57424" w14:textId="77777777" w:rsidR="00C010E0" w:rsidRPr="00025331" w:rsidRDefault="00C010E0" w:rsidP="009D4182">
          <w:pPr>
            <w:ind w:right="-1701"/>
            <w:rPr>
              <w:b/>
              <w:szCs w:val="20"/>
            </w:rPr>
          </w:pPr>
          <w:r w:rsidRPr="00025331">
            <w:rPr>
              <w:b/>
              <w:szCs w:val="20"/>
            </w:rPr>
            <w:t>Methodology for the Measurement Framework</w:t>
          </w:r>
        </w:p>
      </w:tc>
      <w:tc>
        <w:tcPr>
          <w:tcW w:w="8581" w:type="dxa"/>
          <w:shd w:val="clear" w:color="auto" w:fill="D9D9D9" w:themeFill="background1" w:themeFillShade="D9"/>
          <w:vAlign w:val="center"/>
        </w:tcPr>
        <w:sdt>
          <w:sdtPr>
            <w:rPr>
              <w:b/>
              <w:szCs w:val="20"/>
            </w:rPr>
            <w:id w:val="-1807151537"/>
            <w:docPartObj>
              <w:docPartGallery w:val="Page Numbers (Bottom of Page)"/>
              <w:docPartUnique/>
            </w:docPartObj>
          </w:sdtPr>
          <w:sdtEndPr/>
          <w:sdtContent>
            <w:sdt>
              <w:sdtPr>
                <w:rPr>
                  <w:b/>
                  <w:szCs w:val="20"/>
                </w:rPr>
                <w:id w:val="1160741265"/>
                <w:docPartObj>
                  <w:docPartGallery w:val="Page Numbers (Top of Page)"/>
                  <w:docPartUnique/>
                </w:docPartObj>
              </w:sdtPr>
              <w:sdtEndPr/>
              <w:sdtContent>
                <w:p w14:paraId="0EA5519D" w14:textId="59413C6D" w:rsidR="00C010E0" w:rsidRPr="00025331" w:rsidRDefault="00C010E0" w:rsidP="009D4182">
                  <w:pPr>
                    <w:ind w:right="-1702"/>
                    <w:rPr>
                      <w:b/>
                      <w:szCs w:val="20"/>
                    </w:rPr>
                  </w:pPr>
                  <w:r w:rsidRPr="00025331">
                    <w:rPr>
                      <w:b/>
                      <w:szCs w:val="20"/>
                    </w:rPr>
                    <w:t xml:space="preserve">Page </w:t>
                  </w:r>
                  <w:r w:rsidRPr="00025331">
                    <w:rPr>
                      <w:b/>
                      <w:bCs/>
                      <w:szCs w:val="20"/>
                    </w:rPr>
                    <w:fldChar w:fldCharType="begin"/>
                  </w:r>
                  <w:r w:rsidRPr="00025331">
                    <w:rPr>
                      <w:b/>
                      <w:bCs/>
                      <w:szCs w:val="20"/>
                    </w:rPr>
                    <w:instrText xml:space="preserve"> PAGE </w:instrText>
                  </w:r>
                  <w:r w:rsidRPr="00025331">
                    <w:rPr>
                      <w:b/>
                      <w:bCs/>
                      <w:szCs w:val="20"/>
                    </w:rPr>
                    <w:fldChar w:fldCharType="separate"/>
                  </w:r>
                  <w:r w:rsidRPr="00025331">
                    <w:rPr>
                      <w:b/>
                      <w:bCs/>
                      <w:noProof/>
                      <w:szCs w:val="20"/>
                    </w:rPr>
                    <w:t>7</w:t>
                  </w:r>
                  <w:r w:rsidRPr="00025331">
                    <w:rPr>
                      <w:b/>
                      <w:bCs/>
                      <w:szCs w:val="20"/>
                    </w:rPr>
                    <w:fldChar w:fldCharType="end"/>
                  </w:r>
                  <w:r w:rsidRPr="00025331">
                    <w:rPr>
                      <w:b/>
                      <w:szCs w:val="20"/>
                    </w:rPr>
                    <w:t xml:space="preserve"> of </w:t>
                  </w:r>
                  <w:r w:rsidR="00025331" w:rsidRPr="00025331">
                    <w:rPr>
                      <w:b/>
                      <w:bCs/>
                      <w:szCs w:val="20"/>
                    </w:rPr>
                    <w:t>1</w:t>
                  </w:r>
                  <w:r w:rsidR="00C5500F">
                    <w:rPr>
                      <w:b/>
                      <w:bCs/>
                      <w:szCs w:val="20"/>
                    </w:rPr>
                    <w:t>0</w:t>
                  </w:r>
                </w:p>
              </w:sdtContent>
            </w:sdt>
          </w:sdtContent>
        </w:sdt>
      </w:tc>
    </w:tr>
  </w:tbl>
  <w:p w14:paraId="528229A4" w14:textId="77777777" w:rsidR="00C010E0" w:rsidRDefault="00C010E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6827" w:type="dxa"/>
      <w:tblInd w:w="-1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8" w:type="dxa"/>
        <w:right w:w="1418" w:type="dxa"/>
      </w:tblCellMar>
      <w:tblLook w:val="04A0" w:firstRow="1" w:lastRow="0" w:firstColumn="1" w:lastColumn="0" w:noHBand="0" w:noVBand="1"/>
    </w:tblPr>
    <w:tblGrid>
      <w:gridCol w:w="8246"/>
      <w:gridCol w:w="8581"/>
    </w:tblGrid>
    <w:tr w:rsidR="00C010E0" w:rsidRPr="002A7856" w14:paraId="0B76D6A0" w14:textId="77777777" w:rsidTr="00C8684F">
      <w:trPr>
        <w:trHeight w:val="401"/>
      </w:trPr>
      <w:tc>
        <w:tcPr>
          <w:tcW w:w="8246" w:type="dxa"/>
          <w:shd w:val="clear" w:color="auto" w:fill="D9D9D9" w:themeFill="background1" w:themeFillShade="D9"/>
          <w:vAlign w:val="center"/>
        </w:tcPr>
        <w:p w14:paraId="194EDE00" w14:textId="77777777" w:rsidR="00C010E0" w:rsidRPr="00025331" w:rsidRDefault="00C010E0" w:rsidP="009D4182">
          <w:pPr>
            <w:ind w:right="-1701"/>
            <w:rPr>
              <w:b/>
              <w:szCs w:val="20"/>
            </w:rPr>
          </w:pPr>
          <w:r w:rsidRPr="00025331">
            <w:rPr>
              <w:b/>
              <w:szCs w:val="20"/>
            </w:rPr>
            <w:t>Methodology for the Measurement Framework</w:t>
          </w:r>
        </w:p>
      </w:tc>
      <w:tc>
        <w:tcPr>
          <w:tcW w:w="8581" w:type="dxa"/>
          <w:shd w:val="clear" w:color="auto" w:fill="D9D9D9" w:themeFill="background1" w:themeFillShade="D9"/>
          <w:vAlign w:val="center"/>
        </w:tcPr>
        <w:sdt>
          <w:sdtPr>
            <w:rPr>
              <w:b/>
              <w:szCs w:val="20"/>
            </w:rPr>
            <w:id w:val="232288140"/>
            <w:docPartObj>
              <w:docPartGallery w:val="Page Numbers (Bottom of Page)"/>
              <w:docPartUnique/>
            </w:docPartObj>
          </w:sdtPr>
          <w:sdtEndPr/>
          <w:sdtContent>
            <w:sdt>
              <w:sdtPr>
                <w:rPr>
                  <w:b/>
                  <w:szCs w:val="20"/>
                </w:rPr>
                <w:id w:val="-1171323354"/>
                <w:docPartObj>
                  <w:docPartGallery w:val="Page Numbers (Top of Page)"/>
                  <w:docPartUnique/>
                </w:docPartObj>
              </w:sdtPr>
              <w:sdtEndPr/>
              <w:sdtContent>
                <w:p w14:paraId="01A7550F" w14:textId="544EBD6B" w:rsidR="00C010E0" w:rsidRPr="00025331" w:rsidRDefault="00C010E0" w:rsidP="00CE78E4">
                  <w:pPr>
                    <w:ind w:left="3970" w:right="-1702"/>
                    <w:rPr>
                      <w:b/>
                      <w:szCs w:val="20"/>
                    </w:rPr>
                  </w:pPr>
                  <w:r w:rsidRPr="00025331">
                    <w:rPr>
                      <w:b/>
                      <w:szCs w:val="20"/>
                    </w:rPr>
                    <w:t xml:space="preserve">Page </w:t>
                  </w:r>
                  <w:r w:rsidRPr="00025331">
                    <w:rPr>
                      <w:b/>
                      <w:bCs/>
                      <w:szCs w:val="20"/>
                    </w:rPr>
                    <w:fldChar w:fldCharType="begin"/>
                  </w:r>
                  <w:r w:rsidRPr="00025331">
                    <w:rPr>
                      <w:b/>
                      <w:bCs/>
                      <w:szCs w:val="20"/>
                    </w:rPr>
                    <w:instrText xml:space="preserve"> PAGE </w:instrText>
                  </w:r>
                  <w:r w:rsidRPr="00025331">
                    <w:rPr>
                      <w:b/>
                      <w:bCs/>
                      <w:szCs w:val="20"/>
                    </w:rPr>
                    <w:fldChar w:fldCharType="separate"/>
                  </w:r>
                  <w:r w:rsidRPr="00025331">
                    <w:rPr>
                      <w:b/>
                      <w:bCs/>
                      <w:noProof/>
                      <w:szCs w:val="20"/>
                    </w:rPr>
                    <w:t>9</w:t>
                  </w:r>
                  <w:r w:rsidRPr="00025331">
                    <w:rPr>
                      <w:b/>
                      <w:bCs/>
                      <w:szCs w:val="20"/>
                    </w:rPr>
                    <w:fldChar w:fldCharType="end"/>
                  </w:r>
                  <w:r w:rsidRPr="00025331">
                    <w:rPr>
                      <w:b/>
                      <w:szCs w:val="20"/>
                    </w:rPr>
                    <w:t xml:space="preserve"> of </w:t>
                  </w:r>
                  <w:r w:rsidR="00025331">
                    <w:rPr>
                      <w:b/>
                      <w:bCs/>
                      <w:szCs w:val="20"/>
                    </w:rPr>
                    <w:t>1</w:t>
                  </w:r>
                  <w:r w:rsidR="00C5500F">
                    <w:rPr>
                      <w:b/>
                      <w:bCs/>
                      <w:szCs w:val="20"/>
                    </w:rPr>
                    <w:t>0</w:t>
                  </w:r>
                </w:p>
              </w:sdtContent>
            </w:sdt>
          </w:sdtContent>
        </w:sdt>
      </w:tc>
    </w:tr>
  </w:tbl>
  <w:p w14:paraId="6914781D" w14:textId="77777777" w:rsidR="00C010E0" w:rsidRDefault="00C010E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6827" w:type="dxa"/>
      <w:tblInd w:w="-1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8" w:type="dxa"/>
        <w:right w:w="1418" w:type="dxa"/>
      </w:tblCellMar>
      <w:tblLook w:val="04A0" w:firstRow="1" w:lastRow="0" w:firstColumn="1" w:lastColumn="0" w:noHBand="0" w:noVBand="1"/>
    </w:tblPr>
    <w:tblGrid>
      <w:gridCol w:w="8246"/>
      <w:gridCol w:w="8581"/>
    </w:tblGrid>
    <w:tr w:rsidR="00C010E0" w:rsidRPr="00025331" w14:paraId="3140D84A" w14:textId="77777777" w:rsidTr="00C8684F">
      <w:trPr>
        <w:trHeight w:val="401"/>
      </w:trPr>
      <w:tc>
        <w:tcPr>
          <w:tcW w:w="8246" w:type="dxa"/>
          <w:shd w:val="clear" w:color="auto" w:fill="D9D9D9" w:themeFill="background1" w:themeFillShade="D9"/>
          <w:vAlign w:val="center"/>
        </w:tcPr>
        <w:p w14:paraId="5C6B8DE7" w14:textId="77777777" w:rsidR="00C010E0" w:rsidRPr="00025331" w:rsidRDefault="00C010E0" w:rsidP="009D4182">
          <w:pPr>
            <w:ind w:right="-1701"/>
            <w:rPr>
              <w:b/>
              <w:szCs w:val="20"/>
            </w:rPr>
          </w:pPr>
          <w:r w:rsidRPr="00025331">
            <w:rPr>
              <w:b/>
              <w:szCs w:val="20"/>
            </w:rPr>
            <w:t>Methodology for the Measurement Framework</w:t>
          </w:r>
        </w:p>
      </w:tc>
      <w:tc>
        <w:tcPr>
          <w:tcW w:w="8581" w:type="dxa"/>
          <w:shd w:val="clear" w:color="auto" w:fill="D9D9D9" w:themeFill="background1" w:themeFillShade="D9"/>
          <w:vAlign w:val="center"/>
        </w:tcPr>
        <w:sdt>
          <w:sdtPr>
            <w:rPr>
              <w:b/>
              <w:szCs w:val="20"/>
            </w:rPr>
            <w:id w:val="1817217626"/>
            <w:docPartObj>
              <w:docPartGallery w:val="Page Numbers (Bottom of Page)"/>
              <w:docPartUnique/>
            </w:docPartObj>
          </w:sdtPr>
          <w:sdtEndPr/>
          <w:sdtContent>
            <w:sdt>
              <w:sdtPr>
                <w:rPr>
                  <w:b/>
                  <w:szCs w:val="20"/>
                </w:rPr>
                <w:id w:val="-302770669"/>
                <w:docPartObj>
                  <w:docPartGallery w:val="Page Numbers (Top of Page)"/>
                  <w:docPartUnique/>
                </w:docPartObj>
              </w:sdtPr>
              <w:sdtEndPr/>
              <w:sdtContent>
                <w:p w14:paraId="252FAE5C" w14:textId="23472993" w:rsidR="00C010E0" w:rsidRPr="00025331" w:rsidRDefault="00C010E0" w:rsidP="005B4ECF">
                  <w:pPr>
                    <w:ind w:left="-708" w:right="-1702"/>
                    <w:rPr>
                      <w:b/>
                      <w:szCs w:val="20"/>
                    </w:rPr>
                  </w:pPr>
                  <w:r w:rsidRPr="00025331">
                    <w:rPr>
                      <w:b/>
                      <w:szCs w:val="20"/>
                    </w:rPr>
                    <w:t xml:space="preserve">Page </w:t>
                  </w:r>
                  <w:r w:rsidRPr="00025331">
                    <w:rPr>
                      <w:b/>
                      <w:bCs/>
                      <w:szCs w:val="20"/>
                    </w:rPr>
                    <w:fldChar w:fldCharType="begin"/>
                  </w:r>
                  <w:r w:rsidRPr="00025331">
                    <w:rPr>
                      <w:b/>
                      <w:bCs/>
                      <w:szCs w:val="20"/>
                    </w:rPr>
                    <w:instrText xml:space="preserve"> PAGE </w:instrText>
                  </w:r>
                  <w:r w:rsidRPr="00025331">
                    <w:rPr>
                      <w:b/>
                      <w:bCs/>
                      <w:szCs w:val="20"/>
                    </w:rPr>
                    <w:fldChar w:fldCharType="separate"/>
                  </w:r>
                  <w:r w:rsidRPr="00025331">
                    <w:rPr>
                      <w:b/>
                      <w:bCs/>
                      <w:noProof/>
                      <w:szCs w:val="20"/>
                    </w:rPr>
                    <w:t>11</w:t>
                  </w:r>
                  <w:r w:rsidRPr="00025331">
                    <w:rPr>
                      <w:b/>
                      <w:bCs/>
                      <w:szCs w:val="20"/>
                    </w:rPr>
                    <w:fldChar w:fldCharType="end"/>
                  </w:r>
                  <w:r w:rsidRPr="00025331">
                    <w:rPr>
                      <w:b/>
                      <w:szCs w:val="20"/>
                    </w:rPr>
                    <w:t xml:space="preserve"> of </w:t>
                  </w:r>
                  <w:r w:rsidR="00025331" w:rsidRPr="00025331">
                    <w:rPr>
                      <w:b/>
                      <w:bCs/>
                      <w:szCs w:val="20"/>
                    </w:rPr>
                    <w:t>1</w:t>
                  </w:r>
                  <w:r w:rsidR="00C5500F">
                    <w:rPr>
                      <w:b/>
                      <w:bCs/>
                      <w:szCs w:val="20"/>
                    </w:rPr>
                    <w:t>0</w:t>
                  </w:r>
                </w:p>
              </w:sdtContent>
            </w:sdt>
          </w:sdtContent>
        </w:sdt>
      </w:tc>
    </w:tr>
  </w:tbl>
  <w:p w14:paraId="1FB652B2" w14:textId="77777777" w:rsidR="00C010E0" w:rsidRDefault="00C01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D8761" w14:textId="77777777" w:rsidR="00036695" w:rsidRDefault="00036695" w:rsidP="005C293C">
      <w:pPr>
        <w:spacing w:after="0" w:line="240" w:lineRule="auto"/>
      </w:pPr>
      <w:r>
        <w:separator/>
      </w:r>
    </w:p>
  </w:footnote>
  <w:footnote w:type="continuationSeparator" w:id="0">
    <w:p w14:paraId="63499420" w14:textId="77777777" w:rsidR="00036695" w:rsidRDefault="00036695" w:rsidP="005C2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DD07B" w14:textId="77777777" w:rsidR="00C010E0" w:rsidRDefault="00C010E0">
    <w:pPr>
      <w:pStyle w:val="Header"/>
    </w:pPr>
    <w:r>
      <w:rPr>
        <w:noProof/>
        <w:lang w:eastAsia="en-AU"/>
      </w:rPr>
      <w:drawing>
        <wp:anchor distT="0" distB="0" distL="114300" distR="114300" simplePos="0" relativeHeight="251661312" behindDoc="1" locked="0" layoutInCell="1" allowOverlap="1" wp14:anchorId="2F6FF949" wp14:editId="75BB210C">
          <wp:simplePos x="0" y="0"/>
          <wp:positionH relativeFrom="page">
            <wp:posOffset>6985</wp:posOffset>
          </wp:positionH>
          <wp:positionV relativeFrom="paragraph">
            <wp:posOffset>-449580</wp:posOffset>
          </wp:positionV>
          <wp:extent cx="7553325" cy="1296267"/>
          <wp:effectExtent l="0" t="0" r="0" b="0"/>
          <wp:wrapNone/>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NRTWS-work-plan-heade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29626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62505" w14:textId="77777777" w:rsidR="00C010E0" w:rsidRDefault="00C010E0">
    <w:pPr>
      <w:pStyle w:val="Header"/>
    </w:pPr>
    <w:r>
      <w:rPr>
        <w:noProof/>
        <w:lang w:eastAsia="en-AU"/>
      </w:rPr>
      <w:drawing>
        <wp:anchor distT="0" distB="0" distL="114300" distR="114300" simplePos="0" relativeHeight="251660288" behindDoc="1" locked="0" layoutInCell="1" allowOverlap="1" wp14:anchorId="26EFC268" wp14:editId="5701E75F">
          <wp:simplePos x="0" y="0"/>
          <wp:positionH relativeFrom="page">
            <wp:align>right</wp:align>
          </wp:positionH>
          <wp:positionV relativeFrom="page">
            <wp:align>top</wp:align>
          </wp:positionV>
          <wp:extent cx="7550475" cy="2437699"/>
          <wp:effectExtent l="0" t="0" r="0" b="0"/>
          <wp:wrapNone/>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RTWS-work-plan-header-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0475" cy="24376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F7777" w14:textId="77777777" w:rsidR="00C010E0" w:rsidRDefault="00C010E0" w:rsidP="008D1A17">
    <w:pPr>
      <w:pStyle w:val="Header"/>
      <w:tabs>
        <w:tab w:val="clear" w:pos="4513"/>
        <w:tab w:val="clear" w:pos="9026"/>
        <w:tab w:val="left" w:pos="5115"/>
      </w:tabs>
    </w:pPr>
    <w:r>
      <w:rPr>
        <w:noProof/>
        <w:lang w:eastAsia="en-AU"/>
      </w:rPr>
      <w:drawing>
        <wp:anchor distT="0" distB="0" distL="114300" distR="114300" simplePos="0" relativeHeight="251662336" behindDoc="1" locked="0" layoutInCell="1" allowOverlap="1" wp14:anchorId="53BA7999" wp14:editId="33D7C8DC">
          <wp:simplePos x="0" y="0"/>
          <wp:positionH relativeFrom="page">
            <wp:align>left</wp:align>
          </wp:positionH>
          <wp:positionV relativeFrom="paragraph">
            <wp:posOffset>-504190</wp:posOffset>
          </wp:positionV>
          <wp:extent cx="7543800" cy="129463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NRTWS-work-plan-heade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0" cy="1294632"/>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376D2" w14:textId="030C3F63" w:rsidR="00C010E0" w:rsidRDefault="00604E40" w:rsidP="00CE78E4">
    <w:pPr>
      <w:pStyle w:val="Header"/>
      <w:tabs>
        <w:tab w:val="clear" w:pos="4513"/>
        <w:tab w:val="clear" w:pos="9026"/>
        <w:tab w:val="left" w:pos="11302"/>
      </w:tabs>
    </w:pPr>
    <w:r>
      <w:rPr>
        <w:noProof/>
        <w:lang w:eastAsia="en-AU"/>
      </w:rPr>
      <w:drawing>
        <wp:anchor distT="0" distB="0" distL="114300" distR="114300" simplePos="0" relativeHeight="251664384" behindDoc="1" locked="0" layoutInCell="1" allowOverlap="1" wp14:anchorId="6D0E93E6" wp14:editId="5D3C0C21">
          <wp:simplePos x="0" y="0"/>
          <wp:positionH relativeFrom="page">
            <wp:posOffset>38735</wp:posOffset>
          </wp:positionH>
          <wp:positionV relativeFrom="paragraph">
            <wp:posOffset>-448945</wp:posOffset>
          </wp:positionV>
          <wp:extent cx="5380074" cy="12960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NRTWS-work-plan-header-02.png"/>
                  <pic:cNvPicPr/>
                </pic:nvPicPr>
                <pic:blipFill rotWithShape="1">
                  <a:blip r:embed="rId1" cstate="print">
                    <a:extLst>
                      <a:ext uri="{28A0092B-C50C-407E-A947-70E740481C1C}">
                        <a14:useLocalDpi xmlns:a14="http://schemas.microsoft.com/office/drawing/2010/main" val="0"/>
                      </a:ext>
                    </a:extLst>
                  </a:blip>
                  <a:srcRect r="28760"/>
                  <a:stretch/>
                </pic:blipFill>
                <pic:spPr bwMode="auto">
                  <a:xfrm>
                    <a:off x="0" y="0"/>
                    <a:ext cx="5380074" cy="1296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10E0">
      <w:rPr>
        <w:noProof/>
        <w:lang w:eastAsia="en-AU"/>
      </w:rPr>
      <w:drawing>
        <wp:anchor distT="0" distB="0" distL="114300" distR="114300" simplePos="0" relativeHeight="251677696" behindDoc="1" locked="0" layoutInCell="1" allowOverlap="1" wp14:anchorId="26D69DB3" wp14:editId="627A4B7A">
          <wp:simplePos x="0" y="0"/>
          <wp:positionH relativeFrom="margin">
            <wp:posOffset>7432158</wp:posOffset>
          </wp:positionH>
          <wp:positionV relativeFrom="paragraph">
            <wp:posOffset>-213286</wp:posOffset>
          </wp:positionV>
          <wp:extent cx="1966461" cy="6804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WA_logo_inline_transparent.png"/>
                  <pic:cNvPicPr/>
                </pic:nvPicPr>
                <pic:blipFill>
                  <a:blip r:embed="rId2">
                    <a:extLst>
                      <a:ext uri="{28A0092B-C50C-407E-A947-70E740481C1C}">
                        <a14:useLocalDpi xmlns:a14="http://schemas.microsoft.com/office/drawing/2010/main" val="0"/>
                      </a:ext>
                    </a:extLst>
                  </a:blip>
                  <a:stretch>
                    <a:fillRect/>
                  </a:stretch>
                </pic:blipFill>
                <pic:spPr>
                  <a:xfrm>
                    <a:off x="0" y="0"/>
                    <a:ext cx="1966461" cy="680484"/>
                  </a:xfrm>
                  <a:prstGeom prst="rect">
                    <a:avLst/>
                  </a:prstGeom>
                </pic:spPr>
              </pic:pic>
            </a:graphicData>
          </a:graphic>
          <wp14:sizeRelH relativeFrom="page">
            <wp14:pctWidth>0</wp14:pctWidth>
          </wp14:sizeRelH>
          <wp14:sizeRelV relativeFrom="page">
            <wp14:pctHeight>0</wp14:pctHeight>
          </wp14:sizeRelV>
        </wp:anchor>
      </w:drawing>
    </w:r>
    <w:r w:rsidR="00C010E0">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A000A" w14:textId="77777777" w:rsidR="00C010E0" w:rsidRDefault="00C010E0">
    <w:pPr>
      <w:pStyle w:val="Header"/>
    </w:pPr>
    <w:r>
      <w:rPr>
        <w:noProof/>
        <w:lang w:eastAsia="en-AU"/>
      </w:rPr>
      <w:drawing>
        <wp:anchor distT="0" distB="0" distL="114300" distR="114300" simplePos="0" relativeHeight="251666432" behindDoc="1" locked="0" layoutInCell="1" allowOverlap="1" wp14:anchorId="157AFC21" wp14:editId="2A272E65">
          <wp:simplePos x="0" y="0"/>
          <wp:positionH relativeFrom="page">
            <wp:posOffset>6985</wp:posOffset>
          </wp:positionH>
          <wp:positionV relativeFrom="paragraph">
            <wp:posOffset>-449580</wp:posOffset>
          </wp:positionV>
          <wp:extent cx="7553325" cy="129626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NRTWS-work-plan-heade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296267"/>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A070E" w14:textId="77777777" w:rsidR="00C010E0" w:rsidRDefault="00C010E0">
    <w:pPr>
      <w:pStyle w:val="Header"/>
    </w:pPr>
    <w:r>
      <w:rPr>
        <w:noProof/>
        <w:lang w:eastAsia="en-AU"/>
      </w:rPr>
      <w:drawing>
        <wp:anchor distT="0" distB="0" distL="114300" distR="114300" simplePos="0" relativeHeight="251675648" behindDoc="1" locked="0" layoutInCell="1" allowOverlap="1" wp14:anchorId="3C2B9935" wp14:editId="6FA148CA">
          <wp:simplePos x="0" y="0"/>
          <wp:positionH relativeFrom="margin">
            <wp:posOffset>7442702</wp:posOffset>
          </wp:positionH>
          <wp:positionV relativeFrom="paragraph">
            <wp:posOffset>-185154</wp:posOffset>
          </wp:positionV>
          <wp:extent cx="1966461" cy="680484"/>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WA_logo_inline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966461" cy="680484"/>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72576" behindDoc="1" locked="0" layoutInCell="1" allowOverlap="1" wp14:anchorId="1972529D" wp14:editId="51D813CC">
          <wp:simplePos x="0" y="0"/>
          <wp:positionH relativeFrom="page">
            <wp:posOffset>10633</wp:posOffset>
          </wp:positionH>
          <wp:positionV relativeFrom="paragraph">
            <wp:posOffset>-451027</wp:posOffset>
          </wp:positionV>
          <wp:extent cx="5369441" cy="129603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NRTWS-work-plan-header-02.png"/>
                  <pic:cNvPicPr/>
                </pic:nvPicPr>
                <pic:blipFill rotWithShape="1">
                  <a:blip r:embed="rId2" cstate="print">
                    <a:extLst>
                      <a:ext uri="{28A0092B-C50C-407E-A947-70E740481C1C}">
                        <a14:useLocalDpi xmlns:a14="http://schemas.microsoft.com/office/drawing/2010/main" val="0"/>
                      </a:ext>
                    </a:extLst>
                  </a:blip>
                  <a:srcRect r="28900"/>
                  <a:stretch/>
                </pic:blipFill>
                <pic:spPr bwMode="auto">
                  <a:xfrm>
                    <a:off x="0" y="0"/>
                    <a:ext cx="5369441" cy="1296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C0AB7" w14:textId="77777777" w:rsidR="00C010E0" w:rsidRDefault="00C010E0" w:rsidP="008D1A17">
    <w:pPr>
      <w:pStyle w:val="Header"/>
      <w:tabs>
        <w:tab w:val="clear" w:pos="4513"/>
        <w:tab w:val="clear" w:pos="9026"/>
        <w:tab w:val="left" w:pos="5115"/>
      </w:tabs>
    </w:pPr>
    <w:r>
      <w:rPr>
        <w:noProof/>
        <w:lang w:eastAsia="en-AU"/>
      </w:rPr>
      <w:drawing>
        <wp:anchor distT="0" distB="0" distL="114300" distR="114300" simplePos="0" relativeHeight="251668480" behindDoc="1" locked="0" layoutInCell="1" allowOverlap="1" wp14:anchorId="697C4CE1" wp14:editId="609E306C">
          <wp:simplePos x="0" y="0"/>
          <wp:positionH relativeFrom="page">
            <wp:align>left</wp:align>
          </wp:positionH>
          <wp:positionV relativeFrom="paragraph">
            <wp:posOffset>-504190</wp:posOffset>
          </wp:positionV>
          <wp:extent cx="5316279" cy="129413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NRTWS-work-plan-header-02.png"/>
                  <pic:cNvPicPr/>
                </pic:nvPicPr>
                <pic:blipFill rotWithShape="1">
                  <a:blip r:embed="rId1" cstate="print">
                    <a:extLst>
                      <a:ext uri="{28A0092B-C50C-407E-A947-70E740481C1C}">
                        <a14:useLocalDpi xmlns:a14="http://schemas.microsoft.com/office/drawing/2010/main" val="0"/>
                      </a:ext>
                    </a:extLst>
                  </a:blip>
                  <a:srcRect r="29500"/>
                  <a:stretch/>
                </pic:blipFill>
                <pic:spPr bwMode="auto">
                  <a:xfrm>
                    <a:off x="0" y="0"/>
                    <a:ext cx="5318341" cy="12946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CE81F" w14:textId="77777777" w:rsidR="00C010E0" w:rsidRDefault="00C010E0">
    <w:pPr>
      <w:pStyle w:val="Header"/>
    </w:pPr>
    <w:r>
      <w:rPr>
        <w:noProof/>
        <w:lang w:eastAsia="en-AU"/>
      </w:rPr>
      <w:drawing>
        <wp:anchor distT="0" distB="0" distL="114300" distR="114300" simplePos="0" relativeHeight="251674624" behindDoc="1" locked="0" layoutInCell="1" allowOverlap="1" wp14:anchorId="2FB49386" wp14:editId="3D8C51EC">
          <wp:simplePos x="0" y="0"/>
          <wp:positionH relativeFrom="page">
            <wp:posOffset>10633</wp:posOffset>
          </wp:positionH>
          <wp:positionV relativeFrom="paragraph">
            <wp:posOffset>-451027</wp:posOffset>
          </wp:positionV>
          <wp:extent cx="7581014" cy="129591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NRTWS-work-plan-header-02.png"/>
                  <pic:cNvPicPr/>
                </pic:nvPicPr>
                <pic:blipFill rotWithShape="1">
                  <a:blip r:embed="rId1" cstate="print">
                    <a:extLst>
                      <a:ext uri="{28A0092B-C50C-407E-A947-70E740481C1C}">
                        <a14:useLocalDpi xmlns:a14="http://schemas.microsoft.com/office/drawing/2010/main" val="0"/>
                      </a:ext>
                    </a:extLst>
                  </a:blip>
                  <a:srcRect l="1" r="-395"/>
                  <a:stretch/>
                </pic:blipFill>
                <pic:spPr bwMode="auto">
                  <a:xfrm>
                    <a:off x="0" y="0"/>
                    <a:ext cx="7581743" cy="1296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6BF47" w14:textId="77777777" w:rsidR="00C010E0" w:rsidRDefault="00C010E0" w:rsidP="008D1A17">
    <w:pPr>
      <w:pStyle w:val="Header"/>
      <w:tabs>
        <w:tab w:val="clear" w:pos="4513"/>
        <w:tab w:val="clear" w:pos="9026"/>
        <w:tab w:val="left" w:pos="5115"/>
      </w:tabs>
    </w:pPr>
    <w:r>
      <w:rPr>
        <w:noProof/>
        <w:lang w:eastAsia="en-AU"/>
      </w:rPr>
      <w:drawing>
        <wp:anchor distT="0" distB="0" distL="114300" distR="114300" simplePos="0" relativeHeight="251670528" behindDoc="1" locked="0" layoutInCell="1" allowOverlap="1" wp14:anchorId="4B2FA732" wp14:editId="7E2E088B">
          <wp:simplePos x="0" y="0"/>
          <wp:positionH relativeFrom="page">
            <wp:align>left</wp:align>
          </wp:positionH>
          <wp:positionV relativeFrom="paragraph">
            <wp:posOffset>-504190</wp:posOffset>
          </wp:positionV>
          <wp:extent cx="7543800" cy="129463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NRTWS-work-plan-heade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0" cy="1294632"/>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A80C5B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F2D3F"/>
    <w:multiLevelType w:val="hybridMultilevel"/>
    <w:tmpl w:val="BA12FA0A"/>
    <w:lvl w:ilvl="0" w:tplc="802A6A84">
      <w:start w:val="3"/>
      <w:numFmt w:val="bullet"/>
      <w:lvlText w:val=""/>
      <w:lvlJc w:val="left"/>
      <w:pPr>
        <w:ind w:left="720" w:hanging="360"/>
      </w:pPr>
      <w:rPr>
        <w:rFonts w:ascii="Symbol" w:eastAsiaTheme="minorHAns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D85EDC"/>
    <w:multiLevelType w:val="hybridMultilevel"/>
    <w:tmpl w:val="FF7CD900"/>
    <w:lvl w:ilvl="0" w:tplc="5D1A2442">
      <w:start w:val="1"/>
      <w:numFmt w:val="bullet"/>
      <w:pStyle w:val="ListParagraph"/>
      <w:lvlText w:val=""/>
      <w:lvlJc w:val="left"/>
      <w:pPr>
        <w:ind w:left="1440" w:hanging="360"/>
      </w:pPr>
      <w:rPr>
        <w:rFonts w:ascii="Wingdings 3" w:hAnsi="Wingdings 3"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372B3A50"/>
    <w:multiLevelType w:val="hybridMultilevel"/>
    <w:tmpl w:val="9E18A0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852566E"/>
    <w:multiLevelType w:val="hybridMultilevel"/>
    <w:tmpl w:val="1F2C3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E4662E9"/>
    <w:multiLevelType w:val="hybridMultilevel"/>
    <w:tmpl w:val="2C0C1994"/>
    <w:lvl w:ilvl="0" w:tplc="8A64CA7A">
      <w:start w:val="1"/>
      <w:numFmt w:val="decimal"/>
      <w:pStyle w:val="NumberedHeading1"/>
      <w:lvlText w:val="%1."/>
      <w:lvlJc w:val="left"/>
      <w:pPr>
        <w:ind w:left="360" w:hanging="360"/>
      </w:pPr>
      <w:rPr>
        <w:rFonts w:ascii="Arial Bold" w:hAnsi="Arial Bold" w:hint="default"/>
        <w:b/>
        <w:i w:val="0"/>
        <w:color w:val="224C52"/>
        <w:sz w:val="40"/>
        <w:szCs w:val="4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ECD56B4"/>
    <w:multiLevelType w:val="hybridMultilevel"/>
    <w:tmpl w:val="A2F4EB62"/>
    <w:lvl w:ilvl="0" w:tplc="0E60C6E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5"/>
  </w:num>
  <w:num w:numId="6">
    <w:abstractNumId w:val="6"/>
  </w:num>
  <w:num w:numId="7">
    <w:abstractNumId w:val="2"/>
  </w:num>
  <w:num w:numId="8">
    <w:abstractNumId w:val="5"/>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93C"/>
    <w:rsid w:val="00004CC4"/>
    <w:rsid w:val="00014D69"/>
    <w:rsid w:val="00025331"/>
    <w:rsid w:val="0003336F"/>
    <w:rsid w:val="00036504"/>
    <w:rsid w:val="00036695"/>
    <w:rsid w:val="000378CB"/>
    <w:rsid w:val="000540AA"/>
    <w:rsid w:val="000561AC"/>
    <w:rsid w:val="00060F19"/>
    <w:rsid w:val="00070162"/>
    <w:rsid w:val="000A2BCE"/>
    <w:rsid w:val="000C4ACA"/>
    <w:rsid w:val="000C7E62"/>
    <w:rsid w:val="000E5527"/>
    <w:rsid w:val="000F51C9"/>
    <w:rsid w:val="00197A43"/>
    <w:rsid w:val="001A0733"/>
    <w:rsid w:val="00220C34"/>
    <w:rsid w:val="002235C5"/>
    <w:rsid w:val="00264E9F"/>
    <w:rsid w:val="00290ED3"/>
    <w:rsid w:val="002D5560"/>
    <w:rsid w:val="002D607A"/>
    <w:rsid w:val="002D616E"/>
    <w:rsid w:val="0031097B"/>
    <w:rsid w:val="00333DC1"/>
    <w:rsid w:val="00351E3A"/>
    <w:rsid w:val="003B3D34"/>
    <w:rsid w:val="003C3571"/>
    <w:rsid w:val="003E3619"/>
    <w:rsid w:val="0041166A"/>
    <w:rsid w:val="00414A0C"/>
    <w:rsid w:val="00420211"/>
    <w:rsid w:val="00454A1D"/>
    <w:rsid w:val="004554FA"/>
    <w:rsid w:val="004F2B64"/>
    <w:rsid w:val="00520AE4"/>
    <w:rsid w:val="00540C05"/>
    <w:rsid w:val="005A1B82"/>
    <w:rsid w:val="005A6F2F"/>
    <w:rsid w:val="005B4ECF"/>
    <w:rsid w:val="005B612E"/>
    <w:rsid w:val="005C293C"/>
    <w:rsid w:val="005E1970"/>
    <w:rsid w:val="00604E40"/>
    <w:rsid w:val="006064AE"/>
    <w:rsid w:val="006316BC"/>
    <w:rsid w:val="00650A01"/>
    <w:rsid w:val="0066684D"/>
    <w:rsid w:val="006749CE"/>
    <w:rsid w:val="00685A69"/>
    <w:rsid w:val="006B5B59"/>
    <w:rsid w:val="006E5A74"/>
    <w:rsid w:val="00714CC3"/>
    <w:rsid w:val="00722786"/>
    <w:rsid w:val="00726E13"/>
    <w:rsid w:val="00747598"/>
    <w:rsid w:val="007478CF"/>
    <w:rsid w:val="007538D0"/>
    <w:rsid w:val="00774793"/>
    <w:rsid w:val="007863FF"/>
    <w:rsid w:val="007A03D8"/>
    <w:rsid w:val="007A791E"/>
    <w:rsid w:val="007D7525"/>
    <w:rsid w:val="007F7D55"/>
    <w:rsid w:val="00806160"/>
    <w:rsid w:val="00807A62"/>
    <w:rsid w:val="00822ED9"/>
    <w:rsid w:val="00830021"/>
    <w:rsid w:val="00831EE6"/>
    <w:rsid w:val="00836A56"/>
    <w:rsid w:val="00875828"/>
    <w:rsid w:val="00893417"/>
    <w:rsid w:val="008C610E"/>
    <w:rsid w:val="008D1A17"/>
    <w:rsid w:val="008E3B23"/>
    <w:rsid w:val="0092437B"/>
    <w:rsid w:val="0093586D"/>
    <w:rsid w:val="0094759D"/>
    <w:rsid w:val="00974C7A"/>
    <w:rsid w:val="009B4AAC"/>
    <w:rsid w:val="009C09D2"/>
    <w:rsid w:val="009D4182"/>
    <w:rsid w:val="009F7DC1"/>
    <w:rsid w:val="00A01772"/>
    <w:rsid w:val="00A03A27"/>
    <w:rsid w:val="00A14123"/>
    <w:rsid w:val="00A30E71"/>
    <w:rsid w:val="00A430A4"/>
    <w:rsid w:val="00A53F49"/>
    <w:rsid w:val="00A6771C"/>
    <w:rsid w:val="00AA2474"/>
    <w:rsid w:val="00AB3039"/>
    <w:rsid w:val="00AF3330"/>
    <w:rsid w:val="00B60DA6"/>
    <w:rsid w:val="00B65965"/>
    <w:rsid w:val="00B67E71"/>
    <w:rsid w:val="00B71CB7"/>
    <w:rsid w:val="00B764E6"/>
    <w:rsid w:val="00B7671D"/>
    <w:rsid w:val="00B91D52"/>
    <w:rsid w:val="00BA6315"/>
    <w:rsid w:val="00BE1FD7"/>
    <w:rsid w:val="00C010E0"/>
    <w:rsid w:val="00C10639"/>
    <w:rsid w:val="00C5500F"/>
    <w:rsid w:val="00C74002"/>
    <w:rsid w:val="00C857B7"/>
    <w:rsid w:val="00C8684F"/>
    <w:rsid w:val="00C86D4C"/>
    <w:rsid w:val="00C97799"/>
    <w:rsid w:val="00CE78E4"/>
    <w:rsid w:val="00D06470"/>
    <w:rsid w:val="00D375DA"/>
    <w:rsid w:val="00D553DC"/>
    <w:rsid w:val="00D82511"/>
    <w:rsid w:val="00E606EA"/>
    <w:rsid w:val="00E765A4"/>
    <w:rsid w:val="00E93017"/>
    <w:rsid w:val="00ED56FC"/>
    <w:rsid w:val="00EE063E"/>
    <w:rsid w:val="00EE7AE6"/>
    <w:rsid w:val="00EF2FD0"/>
    <w:rsid w:val="00EF78D1"/>
    <w:rsid w:val="00F011E4"/>
    <w:rsid w:val="00F17515"/>
    <w:rsid w:val="00F208BF"/>
    <w:rsid w:val="00F24173"/>
    <w:rsid w:val="00F507B5"/>
    <w:rsid w:val="00F50AFA"/>
    <w:rsid w:val="00F963DC"/>
    <w:rsid w:val="00FC6E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417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293C"/>
    <w:pPr>
      <w:spacing w:line="256" w:lineRule="auto"/>
    </w:pPr>
    <w:rPr>
      <w:rFonts w:ascii="Arial" w:hAnsi="Arial"/>
      <w:sz w:val="20"/>
    </w:rPr>
  </w:style>
  <w:style w:type="paragraph" w:styleId="Heading1">
    <w:name w:val="heading 1"/>
    <w:basedOn w:val="Normal"/>
    <w:next w:val="Normal"/>
    <w:link w:val="Heading1Char"/>
    <w:uiPriority w:val="9"/>
    <w:qFormat/>
    <w:rsid w:val="005C293C"/>
    <w:pPr>
      <w:keepNext/>
      <w:keepLines/>
      <w:spacing w:before="480" w:after="240" w:line="240" w:lineRule="auto"/>
      <w:outlineLvl w:val="0"/>
    </w:pPr>
    <w:rPr>
      <w:rFonts w:eastAsia="Calibri" w:cstheme="majorBidi"/>
      <w:b/>
      <w:color w:val="224C52"/>
      <w:sz w:val="40"/>
      <w:szCs w:val="24"/>
    </w:rPr>
  </w:style>
  <w:style w:type="paragraph" w:styleId="Heading2">
    <w:name w:val="heading 2"/>
    <w:basedOn w:val="Normal"/>
    <w:next w:val="Normal"/>
    <w:link w:val="Heading2Char"/>
    <w:uiPriority w:val="9"/>
    <w:unhideWhenUsed/>
    <w:qFormat/>
    <w:rsid w:val="005C293C"/>
    <w:pPr>
      <w:keepNext/>
      <w:keepLines/>
      <w:spacing w:before="240" w:after="120" w:line="240" w:lineRule="auto"/>
      <w:outlineLvl w:val="1"/>
    </w:pPr>
    <w:rPr>
      <w:rFonts w:eastAsia="Calibri" w:cs="Times New Roman"/>
      <w:b/>
      <w:color w:val="3D7881"/>
      <w:sz w:val="32"/>
      <w:szCs w:val="24"/>
    </w:rPr>
  </w:style>
  <w:style w:type="paragraph" w:styleId="Heading3">
    <w:name w:val="heading 3"/>
    <w:basedOn w:val="Normal"/>
    <w:next w:val="Normal"/>
    <w:link w:val="Heading3Char"/>
    <w:uiPriority w:val="9"/>
    <w:unhideWhenUsed/>
    <w:qFormat/>
    <w:rsid w:val="005C293C"/>
    <w:pPr>
      <w:keepNext/>
      <w:keepLines/>
      <w:spacing w:before="120" w:after="120" w:line="240" w:lineRule="auto"/>
      <w:outlineLvl w:val="2"/>
    </w:pPr>
    <w:rPr>
      <w:rFonts w:ascii="Arial Bold" w:eastAsia="Times New Roman" w:hAnsi="Arial Bold" w:cs="Times New Roman"/>
      <w:b/>
      <w:bCs/>
      <w:color w:val="539FAB"/>
      <w:sz w:val="24"/>
    </w:rPr>
  </w:style>
  <w:style w:type="paragraph" w:styleId="Heading4">
    <w:name w:val="heading 4"/>
    <w:basedOn w:val="Normal"/>
    <w:next w:val="Normal"/>
    <w:link w:val="Heading4Char"/>
    <w:uiPriority w:val="9"/>
    <w:semiHidden/>
    <w:unhideWhenUsed/>
    <w:qFormat/>
    <w:rsid w:val="005C293C"/>
    <w:pPr>
      <w:keepNext/>
      <w:keepLines/>
      <w:spacing w:before="120" w:after="120" w:line="240" w:lineRule="auto"/>
      <w:outlineLvl w:val="3"/>
    </w:pPr>
    <w:rPr>
      <w:rFonts w:asciiTheme="majorHAnsi" w:eastAsiaTheme="majorEastAsia" w:hAnsiTheme="majorHAnsi" w:cstheme="majorBidi"/>
      <w:i/>
      <w:iCs/>
      <w:color w:val="2E74B5" w:themeColor="accent1" w:themeShade="BF"/>
      <w:sz w:val="22"/>
    </w:rPr>
  </w:style>
  <w:style w:type="paragraph" w:styleId="Heading5">
    <w:name w:val="heading 5"/>
    <w:basedOn w:val="Normal"/>
    <w:next w:val="Normal"/>
    <w:link w:val="Heading5Char"/>
    <w:uiPriority w:val="9"/>
    <w:semiHidden/>
    <w:unhideWhenUsed/>
    <w:qFormat/>
    <w:rsid w:val="005C293C"/>
    <w:pPr>
      <w:keepNext/>
      <w:keepLines/>
      <w:spacing w:before="40" w:after="120" w:line="257" w:lineRule="auto"/>
      <w:outlineLvl w:val="4"/>
    </w:pPr>
    <w:rPr>
      <w:rFonts w:asciiTheme="majorHAnsi" w:eastAsiaTheme="majorEastAsia" w:hAnsiTheme="majorHAnsi" w:cstheme="majorBidi"/>
      <w:color w:val="2E74B5"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
    <w:name w:val="Boxed"/>
    <w:basedOn w:val="Normal"/>
    <w:link w:val="BoxedChar"/>
    <w:qFormat/>
    <w:rsid w:val="005C293C"/>
    <w:pPr>
      <w:pBdr>
        <w:top w:val="single" w:sz="4" w:space="10" w:color="A6A6A6" w:themeColor="background1" w:themeShade="A6"/>
        <w:left w:val="single" w:sz="4" w:space="4" w:color="A6A6A6" w:themeColor="background1" w:themeShade="A6"/>
        <w:bottom w:val="single" w:sz="4" w:space="10" w:color="A6A6A6" w:themeColor="background1" w:themeShade="A6"/>
        <w:right w:val="single" w:sz="4" w:space="4" w:color="A6A6A6" w:themeColor="background1" w:themeShade="A6"/>
      </w:pBdr>
      <w:spacing w:after="240" w:line="240" w:lineRule="auto"/>
    </w:pPr>
    <w:rPr>
      <w:b/>
      <w:sz w:val="22"/>
      <w:szCs w:val="24"/>
    </w:rPr>
  </w:style>
  <w:style w:type="character" w:customStyle="1" w:styleId="BoxedChar">
    <w:name w:val="Boxed Char"/>
    <w:basedOn w:val="DefaultParagraphFont"/>
    <w:link w:val="Boxed"/>
    <w:rsid w:val="005C293C"/>
    <w:rPr>
      <w:rFonts w:ascii="Arial" w:hAnsi="Arial"/>
      <w:b/>
      <w:szCs w:val="24"/>
    </w:rPr>
  </w:style>
  <w:style w:type="paragraph" w:customStyle="1" w:styleId="NumberedHeading1">
    <w:name w:val="Numbered Heading 1"/>
    <w:basedOn w:val="Heading1"/>
    <w:link w:val="NumberedHeading1Char"/>
    <w:qFormat/>
    <w:rsid w:val="00520AE4"/>
    <w:pPr>
      <w:numPr>
        <w:numId w:val="1"/>
      </w:numPr>
    </w:pPr>
    <w:rPr>
      <w:rFonts w:cs="Times New Roman"/>
    </w:rPr>
  </w:style>
  <w:style w:type="character" w:customStyle="1" w:styleId="NumberedHeading1Char">
    <w:name w:val="Numbered Heading 1 Char"/>
    <w:basedOn w:val="Heading1Char"/>
    <w:link w:val="NumberedHeading1"/>
    <w:rsid w:val="00520AE4"/>
    <w:rPr>
      <w:rFonts w:ascii="Arial" w:eastAsia="Calibri" w:hAnsi="Arial" w:cs="Times New Roman"/>
      <w:b/>
      <w:color w:val="224C52"/>
      <w:sz w:val="40"/>
      <w:szCs w:val="24"/>
    </w:rPr>
  </w:style>
  <w:style w:type="character" w:customStyle="1" w:styleId="Heading1Char">
    <w:name w:val="Heading 1 Char"/>
    <w:basedOn w:val="DefaultParagraphFont"/>
    <w:link w:val="Heading1"/>
    <w:uiPriority w:val="9"/>
    <w:rsid w:val="005C293C"/>
    <w:rPr>
      <w:rFonts w:ascii="Arial" w:eastAsia="Calibri" w:hAnsi="Arial" w:cstheme="majorBidi"/>
      <w:b/>
      <w:color w:val="224C52"/>
      <w:sz w:val="40"/>
      <w:szCs w:val="24"/>
    </w:rPr>
  </w:style>
  <w:style w:type="paragraph" w:customStyle="1" w:styleId="SWADisclaimerheading">
    <w:name w:val="SWA Disclaimer heading"/>
    <w:basedOn w:val="Normal"/>
    <w:link w:val="SWADisclaimerheadingChar"/>
    <w:qFormat/>
    <w:rsid w:val="005C293C"/>
    <w:pPr>
      <w:spacing w:before="120" w:after="120" w:line="276" w:lineRule="auto"/>
    </w:pPr>
    <w:rPr>
      <w:rFonts w:eastAsiaTheme="majorEastAsia" w:cstheme="majorBidi"/>
      <w:b/>
      <w:color w:val="224C52"/>
      <w:spacing w:val="-3"/>
      <w:sz w:val="14"/>
      <w:szCs w:val="14"/>
    </w:rPr>
  </w:style>
  <w:style w:type="character" w:customStyle="1" w:styleId="SWADisclaimerheadingChar">
    <w:name w:val="SWA Disclaimer heading Char"/>
    <w:basedOn w:val="DefaultParagraphFont"/>
    <w:link w:val="SWADisclaimerheading"/>
    <w:rsid w:val="005C293C"/>
    <w:rPr>
      <w:rFonts w:ascii="Arial" w:eastAsiaTheme="majorEastAsia" w:hAnsi="Arial" w:cstheme="majorBidi"/>
      <w:b/>
      <w:color w:val="224C52"/>
      <w:spacing w:val="-3"/>
      <w:sz w:val="14"/>
      <w:szCs w:val="14"/>
    </w:rPr>
  </w:style>
  <w:style w:type="paragraph" w:customStyle="1" w:styleId="Pulloutquote">
    <w:name w:val="Pull out quote"/>
    <w:basedOn w:val="Boxed"/>
    <w:link w:val="PulloutquoteChar"/>
    <w:qFormat/>
    <w:rsid w:val="00D06470"/>
    <w:pPr>
      <w:pBdr>
        <w:top w:val="none" w:sz="0" w:space="0" w:color="auto"/>
        <w:left w:val="single" w:sz="24" w:space="10" w:color="61C2D3"/>
        <w:bottom w:val="none" w:sz="0" w:space="0" w:color="auto"/>
        <w:right w:val="none" w:sz="0" w:space="0" w:color="auto"/>
      </w:pBdr>
      <w:ind w:left="720"/>
    </w:pPr>
    <w:rPr>
      <w:b w:val="0"/>
      <w:sz w:val="20"/>
    </w:rPr>
  </w:style>
  <w:style w:type="character" w:customStyle="1" w:styleId="PulloutquoteChar">
    <w:name w:val="Pull out quote Char"/>
    <w:basedOn w:val="BoxedChar"/>
    <w:link w:val="Pulloutquote"/>
    <w:rsid w:val="00D06470"/>
    <w:rPr>
      <w:rFonts w:ascii="Arial" w:hAnsi="Arial"/>
      <w:b w:val="0"/>
      <w:sz w:val="20"/>
      <w:szCs w:val="24"/>
    </w:rPr>
  </w:style>
  <w:style w:type="character" w:customStyle="1" w:styleId="Heading2Char">
    <w:name w:val="Heading 2 Char"/>
    <w:basedOn w:val="DefaultParagraphFont"/>
    <w:link w:val="Heading2"/>
    <w:uiPriority w:val="9"/>
    <w:rsid w:val="005C293C"/>
    <w:rPr>
      <w:rFonts w:ascii="Arial" w:eastAsia="Calibri" w:hAnsi="Arial" w:cs="Times New Roman"/>
      <w:b/>
      <w:color w:val="3D7881"/>
      <w:sz w:val="32"/>
      <w:szCs w:val="24"/>
    </w:rPr>
  </w:style>
  <w:style w:type="character" w:customStyle="1" w:styleId="Heading3Char">
    <w:name w:val="Heading 3 Char"/>
    <w:basedOn w:val="DefaultParagraphFont"/>
    <w:link w:val="Heading3"/>
    <w:uiPriority w:val="9"/>
    <w:rsid w:val="005C293C"/>
    <w:rPr>
      <w:rFonts w:ascii="Arial Bold" w:eastAsia="Times New Roman" w:hAnsi="Arial Bold" w:cs="Times New Roman"/>
      <w:b/>
      <w:bCs/>
      <w:color w:val="539FAB"/>
      <w:sz w:val="24"/>
    </w:rPr>
  </w:style>
  <w:style w:type="character" w:customStyle="1" w:styleId="Heading4Char">
    <w:name w:val="Heading 4 Char"/>
    <w:basedOn w:val="DefaultParagraphFont"/>
    <w:link w:val="Heading4"/>
    <w:uiPriority w:val="9"/>
    <w:semiHidden/>
    <w:rsid w:val="005C293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C293C"/>
    <w:rPr>
      <w:rFonts w:asciiTheme="majorHAnsi" w:eastAsiaTheme="majorEastAsia" w:hAnsiTheme="majorHAnsi" w:cstheme="majorBidi"/>
      <w:color w:val="2E74B5" w:themeColor="accent1" w:themeShade="BF"/>
      <w:sz w:val="28"/>
    </w:rPr>
  </w:style>
  <w:style w:type="paragraph" w:styleId="Caption">
    <w:name w:val="caption"/>
    <w:basedOn w:val="Normal"/>
    <w:next w:val="Normal"/>
    <w:uiPriority w:val="35"/>
    <w:semiHidden/>
    <w:unhideWhenUsed/>
    <w:qFormat/>
    <w:rsid w:val="005C293C"/>
    <w:pPr>
      <w:spacing w:after="200" w:line="240" w:lineRule="auto"/>
    </w:pPr>
    <w:rPr>
      <w:i/>
      <w:iCs/>
      <w:color w:val="44546A" w:themeColor="text2"/>
      <w:sz w:val="18"/>
      <w:szCs w:val="18"/>
    </w:rPr>
  </w:style>
  <w:style w:type="paragraph" w:styleId="ListBullet">
    <w:name w:val="List Bullet"/>
    <w:basedOn w:val="Normal"/>
    <w:qFormat/>
    <w:rsid w:val="005C293C"/>
    <w:pPr>
      <w:numPr>
        <w:numId w:val="6"/>
      </w:numPr>
      <w:spacing w:after="120" w:line="240" w:lineRule="auto"/>
    </w:pPr>
    <w:rPr>
      <w:rFonts w:eastAsia="Times New Roman" w:cs="Times New Roman"/>
      <w:sz w:val="22"/>
      <w:szCs w:val="24"/>
    </w:rPr>
  </w:style>
  <w:style w:type="paragraph" w:styleId="Title">
    <w:name w:val="Title"/>
    <w:basedOn w:val="Normal"/>
    <w:next w:val="Normal"/>
    <w:link w:val="TitleChar"/>
    <w:uiPriority w:val="10"/>
    <w:qFormat/>
    <w:rsid w:val="00D06470"/>
    <w:pPr>
      <w:pBdr>
        <w:top w:val="single" w:sz="18" w:space="6" w:color="61C2D2"/>
        <w:left w:val="single" w:sz="18" w:space="6" w:color="61C2D2"/>
        <w:bottom w:val="single" w:sz="18" w:space="6" w:color="61C2D2"/>
        <w:right w:val="single" w:sz="18" w:space="6" w:color="61C2D2"/>
      </w:pBdr>
      <w:shd w:val="clear" w:color="auto" w:fill="61C2D2"/>
      <w:spacing w:after="0" w:line="240" w:lineRule="auto"/>
      <w:contextualSpacing/>
    </w:pPr>
    <w:rPr>
      <w:rFonts w:ascii="Arial Black" w:eastAsia="Calibri" w:hAnsi="Arial Black" w:cs="Times New Roman"/>
      <w:b/>
      <w:caps/>
      <w:color w:val="FFFFFF" w:themeColor="background1"/>
      <w:spacing w:val="-10"/>
      <w:kern w:val="28"/>
      <w:sz w:val="40"/>
      <w:szCs w:val="48"/>
      <w:lang w:val="en-US"/>
    </w:rPr>
  </w:style>
  <w:style w:type="character" w:customStyle="1" w:styleId="TitleChar">
    <w:name w:val="Title Char"/>
    <w:basedOn w:val="DefaultParagraphFont"/>
    <w:link w:val="Title"/>
    <w:uiPriority w:val="10"/>
    <w:rsid w:val="00D06470"/>
    <w:rPr>
      <w:rFonts w:ascii="Arial Black" w:eastAsia="Calibri" w:hAnsi="Arial Black" w:cs="Times New Roman"/>
      <w:b/>
      <w:caps/>
      <w:color w:val="FFFFFF" w:themeColor="background1"/>
      <w:spacing w:val="-10"/>
      <w:kern w:val="28"/>
      <w:sz w:val="40"/>
      <w:szCs w:val="48"/>
      <w:shd w:val="clear" w:color="auto" w:fill="61C2D2"/>
      <w:lang w:val="en-US"/>
    </w:rPr>
  </w:style>
  <w:style w:type="paragraph" w:styleId="Subtitle">
    <w:name w:val="Subtitle"/>
    <w:basedOn w:val="Normal"/>
    <w:next w:val="Normal"/>
    <w:link w:val="SubtitleChar"/>
    <w:uiPriority w:val="11"/>
    <w:qFormat/>
    <w:rsid w:val="005C293C"/>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5C293C"/>
    <w:rPr>
      <w:rFonts w:eastAsiaTheme="minorEastAsia"/>
      <w:color w:val="5A5A5A" w:themeColor="text1" w:themeTint="A5"/>
      <w:spacing w:val="15"/>
    </w:rPr>
  </w:style>
  <w:style w:type="character" w:styleId="Emphasis">
    <w:name w:val="Emphasis"/>
    <w:basedOn w:val="DefaultParagraphFont"/>
    <w:uiPriority w:val="20"/>
    <w:qFormat/>
    <w:rsid w:val="005C293C"/>
    <w:rPr>
      <w:i/>
      <w:iCs/>
    </w:rPr>
  </w:style>
  <w:style w:type="paragraph" w:styleId="ListParagraph">
    <w:name w:val="List Paragraph"/>
    <w:aliases w:val="Bullet,SWA List Paragraph,Indent"/>
    <w:basedOn w:val="Normal"/>
    <w:link w:val="ListParagraphChar"/>
    <w:uiPriority w:val="34"/>
    <w:qFormat/>
    <w:rsid w:val="005C293C"/>
    <w:pPr>
      <w:numPr>
        <w:numId w:val="4"/>
      </w:numPr>
      <w:spacing w:after="120" w:line="257" w:lineRule="auto"/>
      <w:ind w:left="709" w:hanging="357"/>
    </w:pPr>
  </w:style>
  <w:style w:type="character" w:customStyle="1" w:styleId="ListParagraphChar">
    <w:name w:val="List Paragraph Char"/>
    <w:aliases w:val="Bullet Char,SWA List Paragraph Char,Indent Char"/>
    <w:basedOn w:val="DefaultParagraphFont"/>
    <w:link w:val="ListParagraph"/>
    <w:uiPriority w:val="34"/>
    <w:rsid w:val="005C293C"/>
    <w:rPr>
      <w:rFonts w:ascii="Arial" w:hAnsi="Arial"/>
      <w:sz w:val="20"/>
    </w:rPr>
  </w:style>
  <w:style w:type="paragraph" w:styleId="IntenseQuote">
    <w:name w:val="Intense Quote"/>
    <w:basedOn w:val="Normal"/>
    <w:next w:val="Normal"/>
    <w:link w:val="IntenseQuoteChar"/>
    <w:uiPriority w:val="30"/>
    <w:qFormat/>
    <w:rsid w:val="005C293C"/>
    <w:pPr>
      <w:pBdr>
        <w:top w:val="single" w:sz="4" w:space="10" w:color="C10A27"/>
        <w:bottom w:val="single" w:sz="4" w:space="10" w:color="C10A27"/>
      </w:pBdr>
      <w:spacing w:before="360" w:after="360"/>
      <w:ind w:left="864" w:right="864"/>
      <w:jc w:val="center"/>
    </w:pPr>
    <w:rPr>
      <w:i/>
      <w:iCs/>
      <w:color w:val="000000" w:themeColor="text1"/>
      <w:sz w:val="22"/>
    </w:rPr>
  </w:style>
  <w:style w:type="character" w:customStyle="1" w:styleId="IntenseQuoteChar">
    <w:name w:val="Intense Quote Char"/>
    <w:basedOn w:val="DefaultParagraphFont"/>
    <w:link w:val="IntenseQuote"/>
    <w:uiPriority w:val="30"/>
    <w:rsid w:val="005C293C"/>
    <w:rPr>
      <w:rFonts w:ascii="Arial" w:hAnsi="Arial"/>
      <w:i/>
      <w:iCs/>
      <w:color w:val="000000" w:themeColor="text1"/>
    </w:rPr>
  </w:style>
  <w:style w:type="character" w:styleId="SubtleEmphasis">
    <w:name w:val="Subtle Emphasis"/>
    <w:basedOn w:val="DefaultParagraphFont"/>
    <w:uiPriority w:val="19"/>
    <w:qFormat/>
    <w:rsid w:val="005C293C"/>
    <w:rPr>
      <w:i/>
      <w:iCs/>
      <w:color w:val="404040" w:themeColor="text1" w:themeTint="BF"/>
    </w:rPr>
  </w:style>
  <w:style w:type="character" w:styleId="BookTitle">
    <w:name w:val="Book Title"/>
    <w:basedOn w:val="DefaultParagraphFont"/>
    <w:uiPriority w:val="33"/>
    <w:qFormat/>
    <w:rsid w:val="005C293C"/>
    <w:rPr>
      <w:b/>
      <w:bCs/>
      <w:i/>
      <w:iCs/>
      <w:spacing w:val="5"/>
    </w:rPr>
  </w:style>
  <w:style w:type="paragraph" w:styleId="TOCHeading">
    <w:name w:val="TOC Heading"/>
    <w:basedOn w:val="Heading1"/>
    <w:next w:val="Normal"/>
    <w:uiPriority w:val="39"/>
    <w:semiHidden/>
    <w:unhideWhenUsed/>
    <w:qFormat/>
    <w:rsid w:val="005C293C"/>
    <w:pPr>
      <w:spacing w:before="0" w:after="0"/>
      <w:outlineLvl w:val="9"/>
    </w:pPr>
    <w:rPr>
      <w:rFonts w:cs="Times New Roman"/>
      <w:b w:val="0"/>
      <w:color w:val="FFFFFF" w:themeColor="background1"/>
      <w:sz w:val="24"/>
      <w:lang w:val="en-US"/>
    </w:rPr>
  </w:style>
  <w:style w:type="paragraph" w:styleId="Header">
    <w:name w:val="header"/>
    <w:basedOn w:val="Normal"/>
    <w:link w:val="HeaderChar"/>
    <w:uiPriority w:val="99"/>
    <w:unhideWhenUsed/>
    <w:rsid w:val="005C29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93C"/>
    <w:rPr>
      <w:rFonts w:ascii="Arial" w:hAnsi="Arial"/>
      <w:sz w:val="20"/>
    </w:rPr>
  </w:style>
  <w:style w:type="paragraph" w:styleId="Footer">
    <w:name w:val="footer"/>
    <w:basedOn w:val="Normal"/>
    <w:link w:val="FooterChar"/>
    <w:uiPriority w:val="99"/>
    <w:unhideWhenUsed/>
    <w:rsid w:val="005C29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93C"/>
    <w:rPr>
      <w:rFonts w:ascii="Arial" w:hAnsi="Arial"/>
      <w:sz w:val="20"/>
    </w:rPr>
  </w:style>
  <w:style w:type="table" w:styleId="TableGrid">
    <w:name w:val="Table Grid"/>
    <w:basedOn w:val="TableNormal"/>
    <w:uiPriority w:val="59"/>
    <w:rsid w:val="005C2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6470"/>
    <w:rPr>
      <w:color w:val="0563C1" w:themeColor="hyperlink"/>
      <w:u w:val="single"/>
    </w:rPr>
  </w:style>
  <w:style w:type="paragraph" w:customStyle="1" w:styleId="IWHGBodycopy">
    <w:name w:val="IWHG Body copy"/>
    <w:basedOn w:val="Normal"/>
    <w:link w:val="IWHGBodycopyChar"/>
    <w:autoRedefine/>
    <w:qFormat/>
    <w:rsid w:val="00B65965"/>
    <w:pPr>
      <w:suppressAutoHyphens/>
      <w:autoSpaceDE w:val="0"/>
      <w:autoSpaceDN w:val="0"/>
      <w:adjustRightInd w:val="0"/>
      <w:spacing w:before="120" w:after="120" w:line="240" w:lineRule="auto"/>
      <w:ind w:right="113"/>
      <w:textAlignment w:val="center"/>
    </w:pPr>
    <w:rPr>
      <w:rFonts w:eastAsia="Calibri" w:cs="Arial"/>
      <w:b/>
      <w:szCs w:val="18"/>
      <w:lang w:eastAsia="zh-CN"/>
    </w:rPr>
  </w:style>
  <w:style w:type="character" w:customStyle="1" w:styleId="IWHGBodycopyChar">
    <w:name w:val="IWHG Body copy Char"/>
    <w:basedOn w:val="DefaultParagraphFont"/>
    <w:link w:val="IWHGBodycopy"/>
    <w:rsid w:val="00B65965"/>
    <w:rPr>
      <w:rFonts w:ascii="Arial" w:eastAsia="Calibri" w:hAnsi="Arial" w:cs="Arial"/>
      <w:b/>
      <w:sz w:val="20"/>
      <w:szCs w:val="18"/>
      <w:lang w:eastAsia="zh-CN"/>
    </w:rPr>
  </w:style>
  <w:style w:type="character" w:styleId="CommentReference">
    <w:name w:val="annotation reference"/>
    <w:basedOn w:val="DefaultParagraphFont"/>
    <w:uiPriority w:val="99"/>
    <w:semiHidden/>
    <w:unhideWhenUsed/>
    <w:rsid w:val="00893417"/>
    <w:rPr>
      <w:sz w:val="16"/>
      <w:szCs w:val="16"/>
    </w:rPr>
  </w:style>
  <w:style w:type="paragraph" w:styleId="CommentText">
    <w:name w:val="annotation text"/>
    <w:basedOn w:val="Normal"/>
    <w:link w:val="CommentTextChar"/>
    <w:uiPriority w:val="99"/>
    <w:semiHidden/>
    <w:unhideWhenUsed/>
    <w:rsid w:val="00893417"/>
    <w:pPr>
      <w:spacing w:line="240" w:lineRule="auto"/>
    </w:pPr>
    <w:rPr>
      <w:rFonts w:asciiTheme="minorHAnsi" w:hAnsiTheme="minorHAnsi"/>
      <w:szCs w:val="20"/>
    </w:rPr>
  </w:style>
  <w:style w:type="character" w:customStyle="1" w:styleId="CommentTextChar">
    <w:name w:val="Comment Text Char"/>
    <w:basedOn w:val="DefaultParagraphFont"/>
    <w:link w:val="CommentText"/>
    <w:uiPriority w:val="99"/>
    <w:semiHidden/>
    <w:rsid w:val="00893417"/>
    <w:rPr>
      <w:sz w:val="20"/>
      <w:szCs w:val="20"/>
    </w:rPr>
  </w:style>
  <w:style w:type="paragraph" w:styleId="BalloonText">
    <w:name w:val="Balloon Text"/>
    <w:basedOn w:val="Normal"/>
    <w:link w:val="BalloonTextChar"/>
    <w:uiPriority w:val="99"/>
    <w:semiHidden/>
    <w:unhideWhenUsed/>
    <w:rsid w:val="008934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417"/>
    <w:rPr>
      <w:rFonts w:ascii="Segoe UI" w:hAnsi="Segoe UI" w:cs="Segoe UI"/>
      <w:sz w:val="18"/>
      <w:szCs w:val="18"/>
    </w:rPr>
  </w:style>
  <w:style w:type="table" w:styleId="GridTable1Light-Accent5">
    <w:name w:val="Grid Table 1 Light Accent 5"/>
    <w:basedOn w:val="TableNormal"/>
    <w:uiPriority w:val="46"/>
    <w:rsid w:val="008C610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91D5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4-Accent13">
    <w:name w:val="Grid Table 4 - Accent 13"/>
    <w:basedOn w:val="TableNormal"/>
    <w:next w:val="GridTable4-Accent1"/>
    <w:uiPriority w:val="49"/>
    <w:rsid w:val="00F208B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9"/>
    <w:rsid w:val="00F208B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rsid w:val="00F208B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next w:val="GridTable4-Accent1"/>
    <w:uiPriority w:val="49"/>
    <w:rsid w:val="00B67E71"/>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CommentSubject">
    <w:name w:val="annotation subject"/>
    <w:basedOn w:val="CommentText"/>
    <w:next w:val="CommentText"/>
    <w:link w:val="CommentSubjectChar"/>
    <w:uiPriority w:val="99"/>
    <w:semiHidden/>
    <w:unhideWhenUsed/>
    <w:rsid w:val="007538D0"/>
    <w:rPr>
      <w:rFonts w:ascii="Arial" w:hAnsi="Arial"/>
      <w:b/>
      <w:bCs/>
    </w:rPr>
  </w:style>
  <w:style w:type="character" w:customStyle="1" w:styleId="CommentSubjectChar">
    <w:name w:val="Comment Subject Char"/>
    <w:basedOn w:val="CommentTextChar"/>
    <w:link w:val="CommentSubject"/>
    <w:uiPriority w:val="99"/>
    <w:semiHidden/>
    <w:rsid w:val="007538D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ubmed/29342014" TargetMode="External"/><Relationship Id="rId21" Type="http://schemas.openxmlformats.org/officeDocument/2006/relationships/hyperlink" Target="https://www.safeworkaustralia.gov.au/doc/national-return-work-survey-2018-questionnaire" TargetMode="External"/><Relationship Id="rId34" Type="http://schemas.openxmlformats.org/officeDocument/2006/relationships/hyperlink" Target="https://www.ncbi.nlm.nih.gov/pubmed/?term=Abma%20F%5BAuthor%5D&amp;cauthor=true&amp;cauthor_uid=30253219" TargetMode="External"/><Relationship Id="rId42" Type="http://schemas.openxmlformats.org/officeDocument/2006/relationships/hyperlink" Target="https://www.ncbi.nlm.nih.gov/pubmed/31291915" TargetMode="External"/><Relationship Id="rId47" Type="http://schemas.openxmlformats.org/officeDocument/2006/relationships/hyperlink" Target="https://www.ncbi.nlm.nih.gov/pubmed/28861667" TargetMode="External"/><Relationship Id="rId50" Type="http://schemas.openxmlformats.org/officeDocument/2006/relationships/hyperlink" Target="https://www.ncbi.nlm.nih.gov/pubmed/30688764" TargetMode="External"/><Relationship Id="rId55" Type="http://schemas.openxmlformats.org/officeDocument/2006/relationships/footer" Target="footer6.xml"/><Relationship Id="rId63"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s://www.ncbi.nlm.nih.gov/pubmed/?term=Chambers%20L%5BAuthor%5D&amp;cauthor=true&amp;cauthor_uid=22390520" TargetMode="External"/><Relationship Id="rId11" Type="http://schemas.openxmlformats.org/officeDocument/2006/relationships/hyperlink" Target="https://www.safeworkaustralia.gov.au/doc/national-return-work-strategy-2020-2030" TargetMode="External"/><Relationship Id="rId24" Type="http://schemas.openxmlformats.org/officeDocument/2006/relationships/header" Target="header5.xml"/><Relationship Id="rId32" Type="http://schemas.openxmlformats.org/officeDocument/2006/relationships/hyperlink" Target="https://www.ncbi.nlm.nih.gov/pubmed/?term=Rourke%20SB%5BAuthor%5D&amp;cauthor=true&amp;cauthor_uid=22390520" TargetMode="External"/><Relationship Id="rId37" Type="http://schemas.openxmlformats.org/officeDocument/2006/relationships/hyperlink" Target="https://www.ncbi.nlm.nih.gov/pubmed/?term=de%20Vries%20HJ%5BAuthor%5D&amp;cauthor=true&amp;cauthor_uid=22454300" TargetMode="External"/><Relationship Id="rId40" Type="http://schemas.openxmlformats.org/officeDocument/2006/relationships/hyperlink" Target="https://www.ncbi.nlm.nih.gov/pubmed/31301866" TargetMode="External"/><Relationship Id="rId45" Type="http://schemas.openxmlformats.org/officeDocument/2006/relationships/hyperlink" Target="https://www.ncbi.nlm.nih.gov/pubmed/31295163" TargetMode="External"/><Relationship Id="rId53" Type="http://schemas.openxmlformats.org/officeDocument/2006/relationships/hyperlink" Target="https://www.ncbi.nlm.nih.gov/pubmed/30719610" TargetMode="External"/><Relationship Id="rId58" Type="http://schemas.openxmlformats.org/officeDocument/2006/relationships/hyperlink" Target="https://www.safeworkaustralia.gov.au/doc/type-occurrence-classification-system-toocs-3rd-edition-may-2008" TargetMode="External"/><Relationship Id="rId5" Type="http://schemas.openxmlformats.org/officeDocument/2006/relationships/webSettings" Target="webSettings.xml"/><Relationship Id="rId61" Type="http://schemas.openxmlformats.org/officeDocument/2006/relationships/header" Target="header8.xml"/><Relationship Id="rId19" Type="http://schemas.openxmlformats.org/officeDocument/2006/relationships/hyperlink" Target="https://www.safeworkaustralia.gov.au/doc/national-return-work-survey-2018-questionnaire" TargetMode="External"/><Relationship Id="rId14" Type="http://schemas.openxmlformats.org/officeDocument/2006/relationships/hyperlink" Target="https://www.safeworkaustralia.gov.au/collection/national-return-work-survey-2018" TargetMode="External"/><Relationship Id="rId22" Type="http://schemas.openxmlformats.org/officeDocument/2006/relationships/header" Target="header4.xml"/><Relationship Id="rId27" Type="http://schemas.openxmlformats.org/officeDocument/2006/relationships/hyperlink" Target="https://www.ncbi.nlm.nih.gov/pubmed/23457329" TargetMode="External"/><Relationship Id="rId30" Type="http://schemas.openxmlformats.org/officeDocument/2006/relationships/hyperlink" Target="https://www.ncbi.nlm.nih.gov/pubmed/?term=Wilson%20M%5BAuthor%5D&amp;cauthor=true&amp;cauthor_uid=22390520" TargetMode="External"/><Relationship Id="rId35" Type="http://schemas.openxmlformats.org/officeDocument/2006/relationships/hyperlink" Target="https://www.ncbi.nlm.nih.gov/pubmed/?term=Amick%20BC%203rd%5BAuthor%5D&amp;cauthor=true&amp;cauthor_uid=30253219" TargetMode="External"/><Relationship Id="rId43" Type="http://schemas.openxmlformats.org/officeDocument/2006/relationships/hyperlink" Target="https://www.ncbi.nlm.nih.gov/pubmed/28224415" TargetMode="External"/><Relationship Id="rId48" Type="http://schemas.openxmlformats.org/officeDocument/2006/relationships/hyperlink" Target="https://www.ncbi.nlm.nih.gov/pubmed/?term=Hepburn%20CG%5BAuthor%5D&amp;cauthor=true&amp;cauthor_uid=21058855" TargetMode="External"/><Relationship Id="rId56" Type="http://schemas.openxmlformats.org/officeDocument/2006/relationships/header" Target="header7.xm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www.ncbi.nlm.nih.gov/pubmed/16254759"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yperlink" Target="https://www.ncbi.nlm.nih.gov/pubmed/?term=return+to+work+and+health+systematic+review+rueda" TargetMode="External"/><Relationship Id="rId38" Type="http://schemas.openxmlformats.org/officeDocument/2006/relationships/hyperlink" Target="https://www.ncbi.nlm.nih.gov/pubmed/?term=Brouwer%20S%5BAuthor%5D&amp;cauthor=true&amp;cauthor_uid=22454300" TargetMode="External"/><Relationship Id="rId46" Type="http://schemas.openxmlformats.org/officeDocument/2006/relationships/hyperlink" Target="https://www.ncbi.nlm.nih.gov/pubmed/30688764" TargetMode="External"/><Relationship Id="rId59" Type="http://schemas.openxmlformats.org/officeDocument/2006/relationships/hyperlink" Target="https://www.safeworkaustralia.gov.au/collection/national-return-work-survey-2018" TargetMode="External"/><Relationship Id="rId20" Type="http://schemas.openxmlformats.org/officeDocument/2006/relationships/hyperlink" Target="https://www.safeworkaustralia.gov.au/doc/national-return-work-survey-2018-questionnaire" TargetMode="External"/><Relationship Id="rId41" Type="http://schemas.openxmlformats.org/officeDocument/2006/relationships/hyperlink" Target="https://www.ncbi.nlm.nih.gov/pubmed/29420332" TargetMode="External"/><Relationship Id="rId54" Type="http://schemas.openxmlformats.org/officeDocument/2006/relationships/header" Target="header6.xml"/><Relationship Id="rId62"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yperlink" Target="https://www.ncbi.nlm.nih.gov/pubmed/?term=Rueda%20S%5BAuthor%5D&amp;cauthor=true&amp;cauthor_uid=22390520" TargetMode="External"/><Relationship Id="rId36" Type="http://schemas.openxmlformats.org/officeDocument/2006/relationships/hyperlink" Target="https://www.ncbi.nlm.nih.gov/pubmed/30253219" TargetMode="External"/><Relationship Id="rId49" Type="http://schemas.openxmlformats.org/officeDocument/2006/relationships/hyperlink" Target="https://www.ncbi.nlm.nih.gov/pubmed/21058855" TargetMode="External"/><Relationship Id="rId57" Type="http://schemas.openxmlformats.org/officeDocument/2006/relationships/hyperlink" Target="https://www.safeworkaustralia.gov.au/doc/national-dataset-compensation-based-statistics-3rd-edition-revision-1" TargetMode="External"/><Relationship Id="rId10" Type="http://schemas.openxmlformats.org/officeDocument/2006/relationships/header" Target="header2.xml"/><Relationship Id="rId31" Type="http://schemas.openxmlformats.org/officeDocument/2006/relationships/hyperlink" Target="https://www.ncbi.nlm.nih.gov/pubmed/?term=Mustard%20C%5BAuthor%5D&amp;cauthor=true&amp;cauthor_uid=22390520" TargetMode="External"/><Relationship Id="rId44" Type="http://schemas.openxmlformats.org/officeDocument/2006/relationships/hyperlink" Target="https://www.ncbi.nlm.nih.gov/pubmed/31743307" TargetMode="External"/><Relationship Id="rId52" Type="http://schemas.openxmlformats.org/officeDocument/2006/relationships/hyperlink" Target="https://www.ncbi.nlm.nih.gov/pubmed/28271400" TargetMode="External"/><Relationship Id="rId60" Type="http://schemas.openxmlformats.org/officeDocument/2006/relationships/hyperlink" Target="https://www.returntowork.net/"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safeworkaustralia.gov.au/doc/national-dataset-compensation-based-statistics-3rd-edition-revision-1" TargetMode="External"/><Relationship Id="rId18" Type="http://schemas.openxmlformats.org/officeDocument/2006/relationships/hyperlink" Target="https://www.safeworkaustralia.gov.au/doc/national-return-work-survey-2018-questionnaire" TargetMode="External"/><Relationship Id="rId39" Type="http://schemas.openxmlformats.org/officeDocument/2006/relationships/hyperlink" Target="https://www.ncbi.nlm.nih.gov/pubmed/224543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6AF96-B301-41BD-975D-2832292A8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5264</Words>
  <Characters>30006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2020-06-10T03:32:00Z</dcterms:created>
  <dcterms:modified xsi:type="dcterms:W3CDTF">2020-06-10T03:32:00Z</dcterms:modified>
</cp:coreProperties>
</file>